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CB682" w14:textId="77777777" w:rsidR="007429AA" w:rsidRPr="002679BB" w:rsidRDefault="007429AA" w:rsidP="002679BB">
      <w:pPr>
        <w:shd w:val="clear" w:color="auto" w:fill="E7E6E6" w:themeFill="background2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2679BB">
        <w:rPr>
          <w:rFonts w:ascii="Times New Roman" w:hAnsi="Times New Roman" w:cs="Times New Roman"/>
          <w:b/>
          <w:sz w:val="28"/>
          <w:szCs w:val="24"/>
          <w:lang w:val="en-US"/>
        </w:rPr>
        <w:t>GENERAL OUTLOOK OF THE TURKISH ECONOMY</w:t>
      </w:r>
    </w:p>
    <w:p w14:paraId="79BBD965" w14:textId="71FBB135" w:rsidR="000C386B" w:rsidRPr="00C5665D" w:rsidRDefault="000C386B" w:rsidP="00C56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F7FD60" w14:textId="1AAC9DC2" w:rsidR="000C386B" w:rsidRPr="00EA4C9A" w:rsidRDefault="009A6C01" w:rsidP="000C386B">
      <w:pPr>
        <w:pStyle w:val="Header"/>
        <w:numPr>
          <w:ilvl w:val="0"/>
          <w:numId w:val="1"/>
        </w:numPr>
        <w:ind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terms of </w:t>
      </w:r>
      <w:r w:rsidR="00CE5FC0">
        <w:rPr>
          <w:rFonts w:ascii="Times New Roman" w:hAnsi="Times New Roman" w:cs="Times New Roman"/>
          <w:sz w:val="24"/>
          <w:szCs w:val="24"/>
          <w:lang w:val="en-US"/>
        </w:rPr>
        <w:t xml:space="preserve">Gross National Product </w:t>
      </w:r>
      <w:r w:rsidR="000C386B" w:rsidRPr="000C386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5FC0">
        <w:rPr>
          <w:rFonts w:ascii="Times New Roman" w:hAnsi="Times New Roman" w:cs="Times New Roman"/>
          <w:sz w:val="24"/>
          <w:szCs w:val="24"/>
          <w:lang w:val="en-US"/>
        </w:rPr>
        <w:t>GN</w:t>
      </w:r>
      <w:r w:rsidR="000C386B" w:rsidRPr="000C386B">
        <w:rPr>
          <w:rFonts w:ascii="Times New Roman" w:hAnsi="Times New Roman" w:cs="Times New Roman"/>
          <w:sz w:val="24"/>
          <w:szCs w:val="24"/>
          <w:lang w:val="en-US"/>
        </w:rPr>
        <w:t>P)</w:t>
      </w:r>
      <w:r w:rsidR="000C38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according to Purchasing Power Parity (PPP), </w:t>
      </w:r>
      <w:r w:rsidR="000C386B">
        <w:rPr>
          <w:rFonts w:ascii="Times New Roman" w:hAnsi="Times New Roman" w:cs="Times New Roman"/>
          <w:sz w:val="24"/>
          <w:szCs w:val="24"/>
          <w:lang w:val="en-US"/>
        </w:rPr>
        <w:t xml:space="preserve">Turkish economy is the </w:t>
      </w:r>
      <w:r w:rsidR="00C102A3">
        <w:rPr>
          <w:rFonts w:ascii="Times New Roman" w:hAnsi="Times New Roman" w:cs="Times New Roman"/>
          <w:sz w:val="24"/>
          <w:szCs w:val="24"/>
          <w:lang w:val="en-US"/>
        </w:rPr>
        <w:t>13th largest in the world and 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among European countries.</w:t>
      </w:r>
    </w:p>
    <w:p w14:paraId="7B17439B" w14:textId="77777777" w:rsidR="007429AA" w:rsidRPr="00E870BE" w:rsidRDefault="007429AA" w:rsidP="007429AA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5BA5E6" w14:textId="4359CD75" w:rsidR="007429AA" w:rsidRDefault="007429AA" w:rsidP="007429AA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85C">
        <w:rPr>
          <w:rFonts w:ascii="Times New Roman" w:hAnsi="Times New Roman" w:cs="Times New Roman"/>
          <w:b/>
          <w:sz w:val="24"/>
          <w:szCs w:val="24"/>
          <w:lang w:val="en-US"/>
        </w:rPr>
        <w:t>Area</w:t>
      </w:r>
      <w:r w:rsidRPr="004028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0285C">
        <w:rPr>
          <w:rFonts w:ascii="Times New Roman" w:hAnsi="Times New Roman" w:cs="Times New Roman"/>
          <w:sz w:val="24"/>
          <w:szCs w:val="24"/>
          <w:lang w:val="en-US"/>
        </w:rPr>
        <w:t xml:space="preserve">814.578 </w:t>
      </w:r>
      <w:r w:rsidR="0040285C">
        <w:rPr>
          <w:rFonts w:ascii="Times New Roman" w:hAnsi="Times New Roman" w:cs="Times New Roman"/>
          <w:bCs/>
          <w:sz w:val="24"/>
          <w:szCs w:val="24"/>
          <w:lang w:val="en"/>
        </w:rPr>
        <w:t>km</w:t>
      </w:r>
      <w:r w:rsidR="0040285C">
        <w:rPr>
          <w:rFonts w:ascii="Times New Roman" w:hAnsi="Times New Roman" w:cs="Times New Roman"/>
          <w:bCs/>
          <w:sz w:val="24"/>
          <w:szCs w:val="24"/>
          <w:vertAlign w:val="superscript"/>
          <w:lang w:val="en"/>
        </w:rPr>
        <w:t>2</w:t>
      </w:r>
      <w:r w:rsidR="0040285C">
        <w:rPr>
          <w:rFonts w:ascii="Times New Roman" w:hAnsi="Times New Roman" w:cs="Times New Roman"/>
          <w:sz w:val="24"/>
          <w:szCs w:val="24"/>
          <w:lang w:val="en-US"/>
        </w:rPr>
        <w:t xml:space="preserve"> (projection: 779.452 </w:t>
      </w:r>
      <w:r w:rsidR="0040285C">
        <w:rPr>
          <w:rFonts w:ascii="Times New Roman" w:hAnsi="Times New Roman" w:cs="Times New Roman"/>
          <w:bCs/>
          <w:sz w:val="24"/>
          <w:szCs w:val="24"/>
          <w:lang w:val="en"/>
        </w:rPr>
        <w:t>km</w:t>
      </w:r>
      <w:r w:rsidR="0040285C">
        <w:rPr>
          <w:rFonts w:ascii="Times New Roman" w:hAnsi="Times New Roman" w:cs="Times New Roman"/>
          <w:bCs/>
          <w:sz w:val="24"/>
          <w:szCs w:val="24"/>
          <w:vertAlign w:val="superscript"/>
          <w:lang w:val="en"/>
        </w:rPr>
        <w:t>2</w:t>
      </w:r>
      <w:r w:rsidR="0040285C">
        <w:rPr>
          <w:rFonts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</w:p>
    <w:p w14:paraId="672BDD5D" w14:textId="77777777" w:rsidR="0040285C" w:rsidRPr="0040285C" w:rsidRDefault="0040285C" w:rsidP="00402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F8258D" w14:textId="243BAFA2" w:rsidR="007429AA" w:rsidRDefault="007429AA" w:rsidP="007429AA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2D70">
        <w:rPr>
          <w:rFonts w:ascii="Times New Roman" w:hAnsi="Times New Roman" w:cs="Times New Roman"/>
          <w:b/>
          <w:sz w:val="24"/>
          <w:szCs w:val="24"/>
          <w:lang w:val="en-US"/>
        </w:rPr>
        <w:t>Population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9749D">
        <w:rPr>
          <w:rFonts w:ascii="Times New Roman" w:hAnsi="Times New Roman" w:cs="Times New Roman"/>
          <w:sz w:val="24"/>
          <w:szCs w:val="24"/>
          <w:lang w:val="en-US"/>
        </w:rPr>
        <w:t>80</w:t>
      </w:r>
      <w:r w:rsidR="001E4913">
        <w:rPr>
          <w:rFonts w:ascii="Times New Roman" w:hAnsi="Times New Roman" w:cs="Times New Roman"/>
          <w:sz w:val="24"/>
          <w:szCs w:val="24"/>
          <w:lang w:val="en-US"/>
        </w:rPr>
        <w:t>.8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million</w:t>
      </w:r>
      <w:r w:rsidR="002C2CA1">
        <w:rPr>
          <w:rFonts w:ascii="Times New Roman" w:hAnsi="Times New Roman" w:cs="Times New Roman"/>
          <w:sz w:val="24"/>
          <w:szCs w:val="24"/>
          <w:lang w:val="en-US"/>
        </w:rPr>
        <w:t xml:space="preserve"> (201</w:t>
      </w:r>
      <w:r w:rsidR="0069749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B63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9749D">
        <w:rPr>
          <w:rFonts w:ascii="Times New Roman" w:hAnsi="Times New Roman" w:cs="Times New Roman"/>
          <w:sz w:val="24"/>
          <w:szCs w:val="24"/>
          <w:lang w:val="en-US"/>
        </w:rPr>
        <w:t>January</w:t>
      </w:r>
      <w:r w:rsidR="0065035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97BA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413AFF45" w14:textId="19864861" w:rsidR="007429AA" w:rsidRPr="001C338B" w:rsidRDefault="0065035A" w:rsidP="00EB63A9">
      <w:p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</w:p>
    <w:p w14:paraId="1F4798A5" w14:textId="1824D856" w:rsidR="007429AA" w:rsidRPr="00722BB0" w:rsidRDefault="007429AA" w:rsidP="00722BB0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2D70">
        <w:rPr>
          <w:rFonts w:ascii="Times New Roman" w:hAnsi="Times New Roman" w:cs="Times New Roman"/>
          <w:b/>
          <w:sz w:val="24"/>
          <w:szCs w:val="24"/>
          <w:lang w:val="en-US"/>
        </w:rPr>
        <w:t>Labour</w:t>
      </w:r>
      <w:proofErr w:type="spellEnd"/>
      <w:r w:rsidRPr="00FE2D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77F0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FE2D70">
        <w:rPr>
          <w:rFonts w:ascii="Times New Roman" w:hAnsi="Times New Roman" w:cs="Times New Roman"/>
          <w:b/>
          <w:sz w:val="24"/>
          <w:szCs w:val="24"/>
          <w:lang w:val="en-US"/>
        </w:rPr>
        <w:t>orce</w:t>
      </w:r>
      <w:r w:rsidRPr="001C338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31EB4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9E1B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24A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72A2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24A6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1C338B">
        <w:rPr>
          <w:rFonts w:ascii="Times New Roman" w:hAnsi="Times New Roman" w:cs="Times New Roman"/>
          <w:sz w:val="24"/>
          <w:szCs w:val="24"/>
          <w:lang w:val="en-US"/>
        </w:rPr>
        <w:t xml:space="preserve"> million</w:t>
      </w:r>
      <w:r w:rsidR="004116B9">
        <w:rPr>
          <w:rFonts w:ascii="Times New Roman" w:hAnsi="Times New Roman" w:cs="Times New Roman"/>
          <w:sz w:val="24"/>
          <w:szCs w:val="24"/>
          <w:lang w:val="en-US"/>
        </w:rPr>
        <w:t xml:space="preserve"> (2017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97BA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3EA7EB86" w14:textId="7B7ADED5" w:rsidR="00722BB0" w:rsidRPr="007164C4" w:rsidRDefault="00251D2D" w:rsidP="00722BB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9443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32.095 </w:t>
      </w:r>
      <w:r w:rsidR="00437D77" w:rsidRPr="007164C4">
        <w:rPr>
          <w:rFonts w:ascii="Times New Roman" w:hAnsi="Times New Roman" w:cs="Times New Roman"/>
          <w:b/>
          <w:sz w:val="24"/>
          <w:szCs w:val="24"/>
          <w:lang w:val="en-US"/>
        </w:rPr>
        <w:t>million</w:t>
      </w:r>
      <w:r w:rsidRPr="00716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(2018</w:t>
      </w:r>
      <w:r w:rsidR="00437D77" w:rsidRPr="00716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44334">
        <w:rPr>
          <w:rFonts w:ascii="Times New Roman" w:hAnsi="Times New Roman" w:cs="Times New Roman"/>
          <w:b/>
          <w:sz w:val="24"/>
          <w:szCs w:val="24"/>
          <w:lang w:val="en-US"/>
        </w:rPr>
        <w:t>April</w:t>
      </w:r>
      <w:r w:rsidRPr="007164C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7164C4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1</w:t>
      </w:r>
    </w:p>
    <w:p w14:paraId="30846B38" w14:textId="71A85816" w:rsidR="00251D2D" w:rsidRPr="006A67B4" w:rsidRDefault="00510F64" w:rsidP="00722B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</w:t>
      </w:r>
      <w:r w:rsidRPr="006A67B4">
        <w:rPr>
          <w:rFonts w:ascii="Times New Roman" w:hAnsi="Times New Roman" w:cs="Times New Roman"/>
          <w:sz w:val="24"/>
          <w:szCs w:val="24"/>
          <w:lang w:val="en-US"/>
        </w:rPr>
        <w:t xml:space="preserve">(Updated as of </w:t>
      </w:r>
      <w:r w:rsidR="00944334" w:rsidRPr="006A67B4">
        <w:rPr>
          <w:rFonts w:ascii="Times New Roman" w:hAnsi="Times New Roman" w:cs="Times New Roman"/>
          <w:sz w:val="24"/>
          <w:szCs w:val="24"/>
          <w:lang w:val="en-US"/>
        </w:rPr>
        <w:t>16 July</w:t>
      </w:r>
      <w:r w:rsidRPr="006A67B4">
        <w:rPr>
          <w:rFonts w:ascii="Times New Roman" w:hAnsi="Times New Roman" w:cs="Times New Roman"/>
          <w:sz w:val="24"/>
          <w:szCs w:val="24"/>
          <w:lang w:val="en-US"/>
        </w:rPr>
        <w:t xml:space="preserve"> 2018.)</w:t>
      </w:r>
    </w:p>
    <w:p w14:paraId="212789B2" w14:textId="77777777" w:rsidR="00510F64" w:rsidRPr="00722BB0" w:rsidRDefault="00510F64" w:rsidP="00722B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993148" w14:textId="16011E71" w:rsidR="00A43551" w:rsidRPr="00F602EC" w:rsidRDefault="00662CFB" w:rsidP="00F602EC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Unemployment R</w:t>
      </w:r>
      <w:r w:rsidR="007429AA" w:rsidRPr="00FE2D70">
        <w:rPr>
          <w:rFonts w:ascii="Times New Roman" w:hAnsi="Times New Roman" w:cs="Times New Roman"/>
          <w:b/>
          <w:sz w:val="24"/>
          <w:szCs w:val="24"/>
          <w:lang w:val="en-US"/>
        </w:rPr>
        <w:t>ate</w:t>
      </w:r>
      <w:r w:rsidR="00997BAA" w:rsidRPr="00997BA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29AA" w:rsidRPr="0045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0077" w:rsidRPr="00F602EC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724A6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B0077" w:rsidRPr="00F602EC">
        <w:rPr>
          <w:rFonts w:ascii="Times New Roman" w:hAnsi="Times New Roman" w:cs="Times New Roman"/>
          <w:sz w:val="24"/>
          <w:szCs w:val="24"/>
          <w:lang w:val="en-US"/>
        </w:rPr>
        <w:t xml:space="preserve"> %  (2017)</w:t>
      </w:r>
      <w:r w:rsidR="00B679E5" w:rsidRPr="00F602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1</w:t>
      </w:r>
    </w:p>
    <w:p w14:paraId="22847AE7" w14:textId="2EC0ACE4" w:rsidR="00F602EC" w:rsidRPr="007164C4" w:rsidRDefault="005A14F0" w:rsidP="00F60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="00944334">
        <w:rPr>
          <w:rFonts w:ascii="Times New Roman" w:hAnsi="Times New Roman" w:cs="Times New Roman"/>
          <w:b/>
          <w:sz w:val="24"/>
          <w:szCs w:val="24"/>
          <w:lang w:val="en-US"/>
        </w:rPr>
        <w:t>9.6</w:t>
      </w:r>
      <w:r w:rsidRPr="00716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16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% </w:t>
      </w:r>
      <w:r w:rsidR="000C2E18" w:rsidRPr="00716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164C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716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2018, </w:t>
      </w:r>
      <w:r w:rsidR="00944334">
        <w:rPr>
          <w:rFonts w:ascii="Times New Roman" w:hAnsi="Times New Roman" w:cs="Times New Roman"/>
          <w:b/>
          <w:sz w:val="24"/>
          <w:szCs w:val="24"/>
          <w:lang w:val="en-US"/>
        </w:rPr>
        <w:t>April</w:t>
      </w:r>
      <w:r w:rsidRPr="00716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7164C4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</w:p>
    <w:p w14:paraId="35C4F31A" w14:textId="726A53B1" w:rsidR="005A14F0" w:rsidRPr="006A67B4" w:rsidRDefault="007164C4" w:rsidP="00F6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</w:t>
      </w:r>
      <w:r w:rsidR="009443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944334" w:rsidRPr="006A67B4">
        <w:rPr>
          <w:rFonts w:ascii="Times New Roman" w:hAnsi="Times New Roman" w:cs="Times New Roman"/>
          <w:sz w:val="24"/>
          <w:szCs w:val="24"/>
          <w:lang w:val="en-US"/>
        </w:rPr>
        <w:t>(Updated as of 16 July 2018.)</w:t>
      </w:r>
    </w:p>
    <w:p w14:paraId="61DC6CCA" w14:textId="77777777" w:rsidR="007164C4" w:rsidRPr="00F602EC" w:rsidRDefault="007164C4" w:rsidP="00F6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04711C" w14:textId="2627F2AA" w:rsidR="00A43551" w:rsidRDefault="00D74619" w:rsidP="00D74619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* </w:t>
      </w:r>
      <w:r w:rsidR="00A43551" w:rsidRPr="00457B63">
        <w:rPr>
          <w:rFonts w:ascii="Times New Roman" w:hAnsi="Times New Roman"/>
          <w:sz w:val="24"/>
          <w:szCs w:val="24"/>
          <w:lang w:val="en-US"/>
        </w:rPr>
        <w:t>Between 200</w:t>
      </w:r>
      <w:r w:rsidR="00A43551">
        <w:rPr>
          <w:rFonts w:ascii="Times New Roman" w:hAnsi="Times New Roman"/>
          <w:sz w:val="24"/>
          <w:szCs w:val="24"/>
          <w:lang w:val="en-US"/>
        </w:rPr>
        <w:t>8</w:t>
      </w:r>
      <w:r w:rsidR="00A43551" w:rsidRPr="00457B63">
        <w:rPr>
          <w:rFonts w:ascii="Times New Roman" w:hAnsi="Times New Roman"/>
          <w:sz w:val="24"/>
          <w:szCs w:val="24"/>
          <w:lang w:val="en-US"/>
        </w:rPr>
        <w:t>-201</w:t>
      </w:r>
      <w:r w:rsidR="00BC3599">
        <w:rPr>
          <w:rFonts w:ascii="Times New Roman" w:hAnsi="Times New Roman"/>
          <w:sz w:val="24"/>
          <w:szCs w:val="24"/>
          <w:lang w:val="en-US"/>
        </w:rPr>
        <w:t>6</w:t>
      </w:r>
      <w:r w:rsidR="00A43551" w:rsidRPr="00457B63">
        <w:rPr>
          <w:rFonts w:ascii="Times New Roman" w:hAnsi="Times New Roman"/>
          <w:sz w:val="24"/>
          <w:szCs w:val="24"/>
          <w:lang w:val="en-US"/>
        </w:rPr>
        <w:t>,</w:t>
      </w:r>
      <w:proofErr w:type="gramEnd"/>
      <w:r w:rsidR="00A43551" w:rsidRPr="00457B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43551">
        <w:rPr>
          <w:rFonts w:ascii="Times New Roman" w:hAnsi="Times New Roman"/>
          <w:sz w:val="24"/>
          <w:szCs w:val="24"/>
          <w:lang w:val="en-US"/>
        </w:rPr>
        <w:t>7</w:t>
      </w:r>
      <w:r w:rsidR="00D34CF2">
        <w:rPr>
          <w:rFonts w:ascii="Times New Roman" w:hAnsi="Times New Roman"/>
          <w:sz w:val="24"/>
          <w:szCs w:val="24"/>
          <w:lang w:val="en-US"/>
        </w:rPr>
        <w:t>.3</w:t>
      </w:r>
      <w:r w:rsidR="00A43551" w:rsidRPr="00457B63">
        <w:rPr>
          <w:rFonts w:ascii="Times New Roman" w:hAnsi="Times New Roman"/>
          <w:sz w:val="24"/>
          <w:szCs w:val="24"/>
          <w:lang w:val="en-US"/>
        </w:rPr>
        <w:t xml:space="preserve"> million new jobs were created.</w:t>
      </w:r>
      <w:r w:rsidR="000D6207">
        <w:rPr>
          <w:rFonts w:ascii="Times New Roman" w:hAnsi="Times New Roman" w:cs="Times New Roman"/>
          <w:sz w:val="24"/>
          <w:szCs w:val="24"/>
          <w:lang w:val="en-US"/>
        </w:rPr>
        <w:t>³</w:t>
      </w:r>
    </w:p>
    <w:p w14:paraId="0BBC74AD" w14:textId="65951AB7" w:rsidR="00AC6034" w:rsidRPr="00A43551" w:rsidRDefault="00AC6034" w:rsidP="00AC6034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* </w:t>
      </w:r>
      <w:r w:rsidR="002C3102"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  <w:lang w:val="en-US"/>
        </w:rPr>
        <w:t xml:space="preserve"> 2017, </w:t>
      </w:r>
      <w:r w:rsidR="002C3102" w:rsidRPr="00D249D5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1E6D6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million</w:t>
      </w:r>
      <w:proofErr w:type="spellEnd"/>
      <w:r w:rsidR="001E6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13A9">
        <w:rPr>
          <w:rFonts w:ascii="Times New Roman" w:eastAsia="Calibri" w:hAnsi="Times New Roman" w:cs="Times New Roman"/>
          <w:sz w:val="24"/>
          <w:szCs w:val="24"/>
        </w:rPr>
        <w:t>10</w:t>
      </w:r>
      <w:r w:rsidR="00333C88">
        <w:rPr>
          <w:rFonts w:ascii="Times New Roman" w:eastAsia="Calibri" w:hAnsi="Times New Roman" w:cs="Times New Roman"/>
          <w:sz w:val="24"/>
          <w:szCs w:val="24"/>
        </w:rPr>
        <w:t>8</w:t>
      </w:r>
      <w:r w:rsidR="001E6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E6D6F">
        <w:rPr>
          <w:rFonts w:ascii="Times New Roman" w:eastAsia="Calibri" w:hAnsi="Times New Roman" w:cs="Times New Roman"/>
          <w:sz w:val="24"/>
          <w:szCs w:val="24"/>
        </w:rPr>
        <w:t>thousand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7B63">
        <w:rPr>
          <w:rFonts w:ascii="Times New Roman" w:hAnsi="Times New Roman"/>
          <w:sz w:val="24"/>
          <w:szCs w:val="24"/>
          <w:lang w:val="en-US"/>
        </w:rPr>
        <w:t>new jobs were created.</w:t>
      </w:r>
      <w:r w:rsidR="000D6207">
        <w:rPr>
          <w:rFonts w:ascii="Times New Roman" w:hAnsi="Times New Roman" w:cs="Times New Roman"/>
          <w:sz w:val="24"/>
          <w:szCs w:val="24"/>
          <w:lang w:val="en-US"/>
        </w:rPr>
        <w:t>³</w:t>
      </w:r>
    </w:p>
    <w:p w14:paraId="08740828" w14:textId="77777777" w:rsidR="007429AA" w:rsidRPr="001C338B" w:rsidRDefault="007429AA" w:rsidP="007429A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6996DC" w14:textId="665D0F59" w:rsidR="007429AA" w:rsidRPr="000D6207" w:rsidRDefault="007429AA" w:rsidP="00611302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6207">
        <w:rPr>
          <w:rFonts w:ascii="Times New Roman" w:hAnsi="Times New Roman" w:cs="Times New Roman"/>
          <w:b/>
          <w:sz w:val="24"/>
          <w:szCs w:val="24"/>
          <w:lang w:val="en-US"/>
        </w:rPr>
        <w:t>GDP</w:t>
      </w:r>
      <w:r w:rsidRPr="000D6207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="00F168B4" w:rsidRPr="000D6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599E" w:rsidRPr="000D62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6A8A" w:rsidRPr="000D6207">
        <w:rPr>
          <w:rFonts w:ascii="Times New Roman" w:hAnsi="Times New Roman" w:cs="Times New Roman"/>
          <w:sz w:val="24"/>
          <w:szCs w:val="24"/>
          <w:lang w:val="en-US"/>
        </w:rPr>
        <w:t>857</w:t>
      </w:r>
      <w:r w:rsidRPr="000D6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54BE" w:rsidRPr="000D620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D6207">
        <w:rPr>
          <w:rFonts w:ascii="Times New Roman" w:hAnsi="Times New Roman" w:cs="Times New Roman"/>
          <w:sz w:val="24"/>
          <w:szCs w:val="24"/>
          <w:lang w:val="en-US"/>
        </w:rPr>
        <w:t xml:space="preserve">billion USD </w:t>
      </w:r>
      <w:r w:rsidR="00C454BE" w:rsidRPr="000D6207">
        <w:rPr>
          <w:rFonts w:ascii="Times New Roman" w:hAnsi="Times New Roman" w:cs="Times New Roman"/>
          <w:sz w:val="24"/>
          <w:szCs w:val="24"/>
          <w:lang w:val="en-US"/>
        </w:rPr>
        <w:t>(2016</w:t>
      </w:r>
      <w:r w:rsidRPr="000D620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7663015" w14:textId="61000373" w:rsidR="00086182" w:rsidRPr="00E653D0" w:rsidRDefault="00086182" w:rsidP="00E6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851     billion USD (2017)</w:t>
      </w:r>
      <w:r w:rsidR="000D6207" w:rsidRPr="000D62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0D62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7BCD55D4" w14:textId="2E0796CA" w:rsidR="007429AA" w:rsidRPr="006A67B4" w:rsidRDefault="006810C1" w:rsidP="007429AA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10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207</w:t>
      </w:r>
      <w:proofErr w:type="gramStart"/>
      <w:r w:rsidRPr="006810C1">
        <w:rPr>
          <w:rFonts w:ascii="Times New Roman" w:hAnsi="Times New Roman" w:cs="Times New Roman"/>
          <w:b/>
          <w:sz w:val="24"/>
          <w:szCs w:val="24"/>
          <w:lang w:val="en-US"/>
        </w:rPr>
        <w:t>,8</w:t>
      </w:r>
      <w:proofErr w:type="gramEnd"/>
      <w:r w:rsidRPr="006810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billion USD (2018, First Quarter)</w:t>
      </w:r>
      <w:r w:rsidRPr="006810C1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1</w:t>
      </w:r>
      <w:r w:rsidRPr="006810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A67B4">
        <w:rPr>
          <w:rFonts w:ascii="Times New Roman" w:hAnsi="Times New Roman" w:cs="Times New Roman"/>
          <w:sz w:val="24"/>
          <w:szCs w:val="24"/>
          <w:lang w:val="en-US"/>
        </w:rPr>
        <w:t>(Updated as of 11 June 2018)</w:t>
      </w:r>
    </w:p>
    <w:p w14:paraId="1D8F4ECC" w14:textId="77777777" w:rsidR="006810C1" w:rsidRPr="006A67B4" w:rsidRDefault="006810C1" w:rsidP="007429AA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62930A" w14:textId="05C275FA" w:rsidR="00FE2D70" w:rsidRDefault="007429AA" w:rsidP="000B1519">
      <w:pPr>
        <w:pStyle w:val="ListParagraph"/>
        <w:numPr>
          <w:ilvl w:val="0"/>
          <w:numId w:val="1"/>
        </w:numPr>
        <w:spacing w:after="0" w:line="360" w:lineRule="auto"/>
        <w:ind w:left="708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2D70">
        <w:rPr>
          <w:rFonts w:ascii="Times New Roman" w:hAnsi="Times New Roman" w:cs="Times New Roman"/>
          <w:b/>
          <w:sz w:val="24"/>
          <w:szCs w:val="24"/>
          <w:lang w:val="en-US"/>
        </w:rPr>
        <w:t>GDP growth</w:t>
      </w:r>
      <w:r w:rsidR="00FE2D70" w:rsidRPr="00FE2D70">
        <w:rPr>
          <w:rFonts w:ascii="Times New Roman" w:hAnsi="Times New Roman" w:cs="Times New Roman"/>
          <w:sz w:val="24"/>
          <w:szCs w:val="24"/>
          <w:lang w:val="en-US"/>
        </w:rPr>
        <w:t xml:space="preserve"> (at constant prices</w:t>
      </w:r>
      <w:r w:rsidRPr="00FE2D7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97BA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FE2D7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3AFA532" w14:textId="22031335" w:rsidR="004B4401" w:rsidRPr="004B4401" w:rsidRDefault="004B4401" w:rsidP="004B440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401">
        <w:rPr>
          <w:rFonts w:ascii="Times New Roman" w:hAnsi="Times New Roman" w:cs="Times New Roman"/>
          <w:sz w:val="24"/>
          <w:szCs w:val="24"/>
        </w:rPr>
        <w:t>2015</w:t>
      </w:r>
      <w:r w:rsidR="0049561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C2CA1">
        <w:rPr>
          <w:rFonts w:ascii="Times New Roman" w:hAnsi="Times New Roman" w:cs="Times New Roman"/>
          <w:sz w:val="24"/>
          <w:szCs w:val="24"/>
        </w:rPr>
        <w:t>:</w:t>
      </w:r>
      <w:r w:rsidRPr="004B4401">
        <w:rPr>
          <w:rFonts w:ascii="Times New Roman" w:hAnsi="Times New Roman" w:cs="Times New Roman"/>
          <w:sz w:val="24"/>
          <w:szCs w:val="24"/>
        </w:rPr>
        <w:t xml:space="preserve"> </w:t>
      </w:r>
      <w:r w:rsidR="00624B77">
        <w:rPr>
          <w:rFonts w:ascii="Times New Roman" w:hAnsi="Times New Roman" w:cs="Times New Roman"/>
          <w:sz w:val="24"/>
          <w:szCs w:val="24"/>
        </w:rPr>
        <w:t xml:space="preserve">   </w:t>
      </w:r>
      <w:r w:rsidR="00495611">
        <w:rPr>
          <w:rFonts w:ascii="Times New Roman" w:hAnsi="Times New Roman" w:cs="Times New Roman"/>
          <w:sz w:val="24"/>
          <w:szCs w:val="24"/>
        </w:rPr>
        <w:t xml:space="preserve"> </w:t>
      </w:r>
      <w:r w:rsidR="0050058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500588">
        <w:rPr>
          <w:rFonts w:ascii="Times New Roman" w:hAnsi="Times New Roman" w:cs="Times New Roman"/>
          <w:sz w:val="24"/>
          <w:szCs w:val="24"/>
        </w:rPr>
        <w:t>.</w:t>
      </w:r>
      <w:r w:rsidR="00495611">
        <w:rPr>
          <w:rFonts w:ascii="Times New Roman" w:hAnsi="Times New Roman" w:cs="Times New Roman"/>
          <w:sz w:val="24"/>
          <w:szCs w:val="24"/>
        </w:rPr>
        <w:t xml:space="preserve">1 </w:t>
      </w:r>
      <w:r w:rsidR="00624B77" w:rsidRPr="004B4401">
        <w:rPr>
          <w:rFonts w:ascii="Times New Roman" w:hAnsi="Times New Roman" w:cs="Times New Roman"/>
          <w:sz w:val="24"/>
          <w:szCs w:val="24"/>
        </w:rPr>
        <w:t>%</w:t>
      </w:r>
    </w:p>
    <w:p w14:paraId="3BE93011" w14:textId="7D01F277" w:rsidR="00483886" w:rsidRDefault="00AA697B" w:rsidP="00483886">
      <w:pPr>
        <w:pStyle w:val="ListParagraph"/>
        <w:tabs>
          <w:tab w:val="left" w:pos="120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2016                  </w:t>
      </w:r>
      <w:r w:rsidR="00500588">
        <w:rPr>
          <w:rFonts w:ascii="Times New Roman" w:hAnsi="Times New Roman" w:cs="Times New Roman"/>
          <w:sz w:val="24"/>
          <w:szCs w:val="24"/>
          <w:lang w:val="en-US"/>
        </w:rPr>
        <w:t xml:space="preserve"> :   </w:t>
      </w:r>
      <w:r w:rsidR="004956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0588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00588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0240DF15" w14:textId="122B064D" w:rsidR="00FE2D70" w:rsidRDefault="008971CD" w:rsidP="008D397B">
      <w:pPr>
        <w:pStyle w:val="ListParagraph"/>
        <w:tabs>
          <w:tab w:val="left" w:pos="120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7B">
        <w:rPr>
          <w:rFonts w:ascii="Times New Roman" w:hAnsi="Times New Roman" w:cs="Times New Roman"/>
          <w:sz w:val="24"/>
          <w:szCs w:val="24"/>
          <w:lang w:val="en-US"/>
        </w:rPr>
        <w:t xml:space="preserve">2017 </w:t>
      </w:r>
      <w:r w:rsidR="00EF5470" w:rsidRPr="008D39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8D397B"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r w:rsidR="000D54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F5470" w:rsidRPr="008D397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D397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F5470" w:rsidRPr="008D397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00588" w:rsidRPr="008D39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397B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EF5470" w:rsidRPr="008D39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7E98A6" w14:textId="2FAEF543" w:rsidR="008D397B" w:rsidRPr="00677408" w:rsidRDefault="00677408" w:rsidP="00677408">
      <w:pPr>
        <w:pStyle w:val="ListParagraph"/>
        <w:tabs>
          <w:tab w:val="left" w:pos="120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74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2018                   :     7.4 % (First Quarter) </w:t>
      </w:r>
      <w:r w:rsidRPr="006A67B4">
        <w:rPr>
          <w:rFonts w:ascii="Times New Roman" w:hAnsi="Times New Roman" w:cs="Times New Roman"/>
          <w:sz w:val="24"/>
          <w:szCs w:val="24"/>
          <w:lang w:val="en-US"/>
        </w:rPr>
        <w:t>(Updated as of 11 June 2018.)</w:t>
      </w:r>
    </w:p>
    <w:p w14:paraId="7E616544" w14:textId="77777777" w:rsidR="00677408" w:rsidRPr="00500588" w:rsidRDefault="00677408" w:rsidP="00677408">
      <w:pPr>
        <w:pStyle w:val="ListParagraph"/>
        <w:tabs>
          <w:tab w:val="left" w:pos="120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0CE4DB" w14:textId="0889B805" w:rsidR="00AA2B74" w:rsidRPr="006A67B4" w:rsidRDefault="006715E7" w:rsidP="00AA2B7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(</w:t>
      </w:r>
      <w:r w:rsidR="007429AA" w:rsidRPr="00981CB7">
        <w:rPr>
          <w:rFonts w:ascii="Times New Roman" w:hAnsi="Times New Roman" w:cs="Times New Roman"/>
          <w:sz w:val="24"/>
          <w:lang w:val="en-US"/>
        </w:rPr>
        <w:t xml:space="preserve">Average growth rate </w:t>
      </w:r>
      <w:r w:rsidR="00500588" w:rsidRPr="00981CB7">
        <w:rPr>
          <w:rFonts w:ascii="Times New Roman" w:hAnsi="Times New Roman" w:cs="Times New Roman"/>
          <w:sz w:val="24"/>
          <w:lang w:val="en-US"/>
        </w:rPr>
        <w:t>between 2011 and 2016 is</w:t>
      </w:r>
      <w:r w:rsidR="007429AA" w:rsidRPr="00981CB7">
        <w:rPr>
          <w:rFonts w:ascii="Times New Roman" w:hAnsi="Times New Roman" w:cs="Times New Roman"/>
          <w:sz w:val="24"/>
          <w:lang w:val="en-US"/>
        </w:rPr>
        <w:t xml:space="preserve"> </w:t>
      </w:r>
      <w:r w:rsidR="00500588" w:rsidRPr="00981CB7">
        <w:rPr>
          <w:rFonts w:ascii="Times New Roman" w:hAnsi="Times New Roman" w:cs="Times New Roman"/>
          <w:sz w:val="24"/>
          <w:lang w:val="en-US"/>
        </w:rPr>
        <w:t>6</w:t>
      </w:r>
      <w:r w:rsidR="00704299" w:rsidRPr="00981CB7">
        <w:rPr>
          <w:rFonts w:ascii="Times New Roman" w:hAnsi="Times New Roman" w:cs="Times New Roman"/>
          <w:sz w:val="24"/>
          <w:lang w:val="en-US"/>
        </w:rPr>
        <w:t>.</w:t>
      </w:r>
      <w:r w:rsidR="00500588" w:rsidRPr="00981CB7">
        <w:rPr>
          <w:rFonts w:ascii="Times New Roman" w:hAnsi="Times New Roman" w:cs="Times New Roman"/>
          <w:sz w:val="24"/>
          <w:lang w:val="en-US"/>
        </w:rPr>
        <w:t>4</w:t>
      </w:r>
      <w:r w:rsidR="007429AA" w:rsidRPr="00981CB7">
        <w:rPr>
          <w:rFonts w:ascii="Times New Roman" w:hAnsi="Times New Roman" w:cs="Times New Roman"/>
          <w:sz w:val="24"/>
          <w:lang w:val="en-US"/>
        </w:rPr>
        <w:t xml:space="preserve"> %.</w:t>
      </w:r>
      <w:r w:rsidR="007429AA" w:rsidRPr="00981CB7">
        <w:rPr>
          <w:rFonts w:ascii="Times New Roman" w:hAnsi="Times New Roman" w:cs="Times New Roman"/>
          <w:bCs/>
          <w:sz w:val="24"/>
        </w:rPr>
        <w:t xml:space="preserve"> </w:t>
      </w:r>
      <w:r w:rsidR="007429AA" w:rsidRPr="00981CB7">
        <w:rPr>
          <w:rFonts w:ascii="Times New Roman" w:hAnsi="Times New Roman" w:cs="Times New Roman"/>
          <w:bCs/>
          <w:sz w:val="24"/>
          <w:lang w:val="en-US"/>
        </w:rPr>
        <w:t>According to the OECD, Turkey is expected to be the fastest growing economy among the OECD members in the period of 2012-2017 and 2018-2030 wi</w:t>
      </w:r>
      <w:r w:rsidR="00981CB7">
        <w:rPr>
          <w:rFonts w:ascii="Times New Roman" w:hAnsi="Times New Roman" w:cs="Times New Roman"/>
          <w:bCs/>
          <w:sz w:val="24"/>
          <w:lang w:val="en-US"/>
        </w:rPr>
        <w:t>th 5.1% and 4.3% respectively.</w:t>
      </w:r>
      <w:r w:rsidR="008E7B4C">
        <w:rPr>
          <w:rFonts w:ascii="Times New Roman" w:hAnsi="Times New Roman" w:cs="Times New Roman"/>
          <w:bCs/>
          <w:sz w:val="24"/>
          <w:lang w:val="en-US"/>
        </w:rPr>
        <w:t xml:space="preserve"> The average growth rate of Turkey in 201</w:t>
      </w:r>
      <w:r w:rsidR="00086182">
        <w:rPr>
          <w:rFonts w:ascii="Times New Roman" w:hAnsi="Times New Roman" w:cs="Times New Roman"/>
          <w:bCs/>
          <w:sz w:val="24"/>
          <w:lang w:val="en-US"/>
        </w:rPr>
        <w:t>7</w:t>
      </w:r>
      <w:r w:rsidR="008E7B4C">
        <w:rPr>
          <w:rFonts w:ascii="Times New Roman" w:hAnsi="Times New Roman" w:cs="Times New Roman"/>
          <w:bCs/>
          <w:sz w:val="24"/>
          <w:lang w:val="en-US"/>
        </w:rPr>
        <w:t xml:space="preserve"> was </w:t>
      </w:r>
      <w:r w:rsidR="00086182">
        <w:rPr>
          <w:rFonts w:ascii="Times New Roman" w:hAnsi="Times New Roman" w:cs="Times New Roman"/>
          <w:bCs/>
          <w:sz w:val="24"/>
          <w:lang w:val="en-US"/>
        </w:rPr>
        <w:t>7</w:t>
      </w:r>
      <w:r w:rsidR="008E7B4C">
        <w:rPr>
          <w:rFonts w:ascii="Times New Roman" w:hAnsi="Times New Roman" w:cs="Times New Roman"/>
          <w:bCs/>
          <w:sz w:val="24"/>
          <w:lang w:val="en-US"/>
        </w:rPr>
        <w:t>.</w:t>
      </w:r>
      <w:r w:rsidR="00086182">
        <w:rPr>
          <w:rFonts w:ascii="Times New Roman" w:hAnsi="Times New Roman" w:cs="Times New Roman"/>
          <w:bCs/>
          <w:sz w:val="24"/>
          <w:lang w:val="en-US"/>
        </w:rPr>
        <w:t>4</w:t>
      </w:r>
      <w:r w:rsidR="008E7B4C">
        <w:rPr>
          <w:rFonts w:ascii="Times New Roman" w:hAnsi="Times New Roman" w:cs="Times New Roman"/>
          <w:bCs/>
          <w:sz w:val="24"/>
          <w:lang w:val="en-US"/>
        </w:rPr>
        <w:t xml:space="preserve"> %.</w:t>
      </w:r>
      <w:r w:rsidR="00AA2B7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8A7CCF">
        <w:rPr>
          <w:rFonts w:ascii="Times New Roman" w:hAnsi="Times New Roman" w:cs="Times New Roman"/>
          <w:bCs/>
          <w:sz w:val="24"/>
          <w:lang w:val="en-US"/>
        </w:rPr>
        <w:t xml:space="preserve">In 2017 </w:t>
      </w:r>
      <w:r w:rsidR="00AA2B74">
        <w:rPr>
          <w:rFonts w:ascii="Times New Roman" w:hAnsi="Times New Roman" w:cs="Times New Roman"/>
          <w:bCs/>
          <w:sz w:val="24"/>
          <w:lang w:val="en-US"/>
        </w:rPr>
        <w:t xml:space="preserve">Turkey became </w:t>
      </w:r>
      <w:r w:rsidR="008A7CCF">
        <w:rPr>
          <w:rFonts w:ascii="Times New Roman" w:hAnsi="Times New Roman" w:cs="Times New Roman"/>
          <w:bCs/>
          <w:sz w:val="24"/>
          <w:lang w:val="en-US"/>
        </w:rPr>
        <w:t xml:space="preserve">the first among G20 countries and </w:t>
      </w:r>
      <w:r w:rsidR="00AA2B74">
        <w:rPr>
          <w:rFonts w:ascii="Times New Roman" w:hAnsi="Times New Roman" w:cs="Times New Roman"/>
          <w:bCs/>
          <w:sz w:val="24"/>
          <w:lang w:val="en-US"/>
        </w:rPr>
        <w:t>the second fastest growing economy among the OECD members after Ireland.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6A67B4">
        <w:rPr>
          <w:rFonts w:ascii="Times New Roman" w:hAnsi="Times New Roman" w:cs="Times New Roman"/>
          <w:bCs/>
          <w:sz w:val="24"/>
          <w:lang w:val="en-US"/>
        </w:rPr>
        <w:t>For the first quarter of 2018</w:t>
      </w:r>
      <w:r w:rsidR="007334DD" w:rsidRPr="006A67B4">
        <w:rPr>
          <w:rFonts w:ascii="Times New Roman" w:hAnsi="Times New Roman" w:cs="Times New Roman"/>
          <w:bCs/>
          <w:sz w:val="24"/>
          <w:lang w:val="en-US"/>
        </w:rPr>
        <w:t>,</w:t>
      </w:r>
      <w:r w:rsidRPr="006A67B4">
        <w:rPr>
          <w:rFonts w:ascii="Times New Roman" w:hAnsi="Times New Roman" w:cs="Times New Roman"/>
          <w:bCs/>
          <w:sz w:val="24"/>
          <w:lang w:val="en-US"/>
        </w:rPr>
        <w:t xml:space="preserve"> Turkey became the first among OECD members and the second </w:t>
      </w:r>
      <w:r w:rsidR="00A971B7" w:rsidRPr="006A67B4">
        <w:rPr>
          <w:rFonts w:ascii="Times New Roman" w:hAnsi="Times New Roman" w:cs="Times New Roman"/>
          <w:bCs/>
          <w:sz w:val="24"/>
          <w:lang w:val="en-US"/>
        </w:rPr>
        <w:t xml:space="preserve">fastest growing economy </w:t>
      </w:r>
      <w:r w:rsidR="00B24B2F" w:rsidRPr="006A67B4">
        <w:rPr>
          <w:rFonts w:ascii="Times New Roman" w:hAnsi="Times New Roman" w:cs="Times New Roman"/>
          <w:bCs/>
          <w:sz w:val="24"/>
          <w:lang w:val="en-US"/>
        </w:rPr>
        <w:t xml:space="preserve">after India </w:t>
      </w:r>
      <w:r w:rsidRPr="006A67B4">
        <w:rPr>
          <w:rFonts w:ascii="Times New Roman" w:hAnsi="Times New Roman" w:cs="Times New Roman"/>
          <w:bCs/>
          <w:sz w:val="24"/>
          <w:lang w:val="en-US"/>
        </w:rPr>
        <w:t>among G20 countries)</w:t>
      </w:r>
      <w:r w:rsidRPr="006A67B4">
        <w:rPr>
          <w:rFonts w:ascii="Times New Roman" w:hAnsi="Times New Roman" w:cs="Times New Roman"/>
          <w:sz w:val="24"/>
          <w:szCs w:val="24"/>
          <w:lang w:val="en-US"/>
        </w:rPr>
        <w:t xml:space="preserve"> (Updated as of 11 June 2018.)</w:t>
      </w:r>
    </w:p>
    <w:p w14:paraId="67A77044" w14:textId="1D8AD84B" w:rsidR="004B1661" w:rsidRDefault="004B1661" w:rsidP="00AA2B7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14:paraId="729864D3" w14:textId="3499D9B2" w:rsidR="004B1661" w:rsidRDefault="004B1661" w:rsidP="00AA2B7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GDP Per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Capita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10.597 USD (2017)</w:t>
      </w:r>
      <w:r w:rsidRPr="00E653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46F3411D" w14:textId="556A8BF7" w:rsidR="007429AA" w:rsidRPr="001C338B" w:rsidRDefault="009A6C01" w:rsidP="00AA2B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GDP a</w:t>
      </w:r>
      <w:r w:rsidR="007429AA" w:rsidRPr="00E870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ccording to Purchasing Power Parity (PPP) </w:t>
      </w:r>
      <w:r w:rsidR="009C3AF7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9C3AF7">
        <w:rPr>
          <w:rFonts w:ascii="Times New Roman" w:hAnsi="Times New Roman" w:cs="Times New Roman"/>
          <w:bCs/>
          <w:sz w:val="24"/>
          <w:szCs w:val="24"/>
          <w:lang w:val="en-US"/>
        </w:rPr>
        <w:t>.6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55</w:t>
      </w:r>
      <w:r w:rsidR="004258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USD</w:t>
      </w:r>
      <w:r w:rsidR="00662C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(2017).</w:t>
      </w:r>
    </w:p>
    <w:p w14:paraId="68CBCCE1" w14:textId="46D547FF" w:rsidR="000F692E" w:rsidRPr="00A05906" w:rsidRDefault="000F692E" w:rsidP="00A0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B285AA" w14:textId="396649D8" w:rsidR="007429AA" w:rsidRPr="002A2C2F" w:rsidRDefault="007429AA" w:rsidP="007429AA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2D70">
        <w:rPr>
          <w:rFonts w:ascii="Times New Roman" w:hAnsi="Times New Roman" w:cs="Times New Roman"/>
          <w:b/>
          <w:bCs/>
          <w:sz w:val="24"/>
          <w:szCs w:val="24"/>
          <w:lang w:val="en-US"/>
        </w:rPr>
        <w:t>Inflation</w:t>
      </w:r>
      <w:r w:rsidR="00C21ADC" w:rsidRPr="002A2C2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A4540D" w:rsidRPr="002A2C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D62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A4540D" w:rsidRPr="002A2C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367D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2002     </w:t>
      </w:r>
      <w:r w:rsidR="00EF1313" w:rsidRPr="002A2C2F">
        <w:rPr>
          <w:rFonts w:ascii="Times New Roman" w:hAnsi="Times New Roman" w:cs="Times New Roman"/>
          <w:bCs/>
          <w:sz w:val="24"/>
          <w:szCs w:val="24"/>
          <w:lang w:val="en-US"/>
        </w:rPr>
        <w:t>29.7</w:t>
      </w:r>
      <w:r w:rsidR="00376EC5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="00EF1313" w:rsidRPr="002A2C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%</w:t>
      </w:r>
    </w:p>
    <w:p w14:paraId="1ABE9E9B" w14:textId="77777777" w:rsidR="007429AA" w:rsidRPr="002A2C2F" w:rsidRDefault="007429AA" w:rsidP="007429AA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2C2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F1313" w:rsidRPr="002A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2F">
        <w:rPr>
          <w:rFonts w:ascii="Times New Roman" w:hAnsi="Times New Roman" w:cs="Times New Roman"/>
          <w:sz w:val="24"/>
          <w:szCs w:val="24"/>
          <w:lang w:val="en-US"/>
        </w:rPr>
        <w:t>10.45 %</w:t>
      </w:r>
    </w:p>
    <w:p w14:paraId="1DD75D9A" w14:textId="333AB5B7" w:rsidR="007429AA" w:rsidRPr="002A2C2F" w:rsidRDefault="007429AA" w:rsidP="007429AA">
      <w:pPr>
        <w:pStyle w:val="ListParagraph"/>
        <w:spacing w:after="0" w:line="240" w:lineRule="auto"/>
        <w:ind w:left="1416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2C2F">
        <w:rPr>
          <w:rFonts w:ascii="Times New Roman" w:hAnsi="Times New Roman" w:cs="Times New Roman"/>
          <w:sz w:val="24"/>
          <w:szCs w:val="24"/>
          <w:lang w:val="en-US"/>
        </w:rPr>
        <w:t xml:space="preserve">2012      </w:t>
      </w:r>
      <w:r w:rsidR="00367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2F">
        <w:rPr>
          <w:rFonts w:ascii="Times New Roman" w:hAnsi="Times New Roman" w:cs="Times New Roman"/>
          <w:sz w:val="24"/>
          <w:szCs w:val="24"/>
          <w:lang w:val="en-US"/>
        </w:rPr>
        <w:t>6.16 %</w:t>
      </w:r>
    </w:p>
    <w:p w14:paraId="6A2EA6BF" w14:textId="17F52936" w:rsidR="007429AA" w:rsidRPr="002A2C2F" w:rsidRDefault="007429AA" w:rsidP="007429AA">
      <w:pPr>
        <w:pStyle w:val="ListParagraph"/>
        <w:spacing w:after="0" w:line="240" w:lineRule="auto"/>
        <w:ind w:left="1416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2C2F">
        <w:rPr>
          <w:rFonts w:ascii="Times New Roman" w:hAnsi="Times New Roman" w:cs="Times New Roman"/>
          <w:sz w:val="24"/>
          <w:szCs w:val="24"/>
          <w:lang w:val="en-US"/>
        </w:rPr>
        <w:t xml:space="preserve">2013     </w:t>
      </w:r>
      <w:r w:rsidR="00367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2F">
        <w:rPr>
          <w:rFonts w:ascii="Times New Roman" w:hAnsi="Times New Roman" w:cs="Times New Roman"/>
          <w:sz w:val="24"/>
          <w:szCs w:val="24"/>
          <w:lang w:val="en-US"/>
        </w:rPr>
        <w:t xml:space="preserve"> 7.40 %</w:t>
      </w:r>
    </w:p>
    <w:p w14:paraId="1ABFEA5F" w14:textId="189B46BB" w:rsidR="007429AA" w:rsidRPr="002A2C2F" w:rsidRDefault="007429AA" w:rsidP="007429AA">
      <w:pPr>
        <w:pStyle w:val="ListParagraph"/>
        <w:spacing w:after="0" w:line="240" w:lineRule="auto"/>
        <w:ind w:left="1416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2C2F">
        <w:rPr>
          <w:rFonts w:ascii="Times New Roman" w:hAnsi="Times New Roman" w:cs="Times New Roman"/>
          <w:sz w:val="24"/>
          <w:szCs w:val="24"/>
          <w:lang w:val="en-US"/>
        </w:rPr>
        <w:t xml:space="preserve">2014     </w:t>
      </w:r>
      <w:r w:rsidR="00367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C2F">
        <w:rPr>
          <w:rFonts w:ascii="Times New Roman" w:hAnsi="Times New Roman" w:cs="Times New Roman"/>
          <w:sz w:val="24"/>
          <w:szCs w:val="24"/>
          <w:lang w:val="en-US"/>
        </w:rPr>
        <w:t xml:space="preserve"> 8.17 %</w:t>
      </w:r>
    </w:p>
    <w:p w14:paraId="4F8EF116" w14:textId="2E9B5868" w:rsidR="007429AA" w:rsidRPr="002A2C2F" w:rsidRDefault="007429AA" w:rsidP="007429AA">
      <w:pPr>
        <w:pStyle w:val="ListParagraph"/>
        <w:spacing w:after="0" w:line="240" w:lineRule="auto"/>
        <w:ind w:left="1416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2C2F">
        <w:rPr>
          <w:rFonts w:ascii="Times New Roman" w:hAnsi="Times New Roman" w:cs="Times New Roman"/>
          <w:sz w:val="24"/>
          <w:szCs w:val="24"/>
          <w:lang w:val="en-US"/>
        </w:rPr>
        <w:t xml:space="preserve">2015      </w:t>
      </w:r>
      <w:r w:rsidR="00367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1313" w:rsidRPr="002A2C2F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2A2C2F">
        <w:rPr>
          <w:rFonts w:ascii="Times New Roman" w:hAnsi="Times New Roman" w:cs="Times New Roman"/>
          <w:sz w:val="24"/>
          <w:szCs w:val="24"/>
          <w:lang w:val="en-US"/>
        </w:rPr>
        <w:t>81 %</w:t>
      </w:r>
    </w:p>
    <w:p w14:paraId="272E5ED5" w14:textId="2702B9B7" w:rsidR="007429AA" w:rsidRDefault="00C21ADC" w:rsidP="0074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2C2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2A2C2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  <w:t xml:space="preserve">                 </w:t>
      </w:r>
      <w:r w:rsidRPr="002A2C2F">
        <w:rPr>
          <w:rFonts w:ascii="Times New Roman" w:hAnsi="Times New Roman" w:cs="Times New Roman"/>
          <w:sz w:val="24"/>
          <w:szCs w:val="24"/>
          <w:lang w:val="en-US"/>
        </w:rPr>
        <w:t xml:space="preserve">2016      </w:t>
      </w:r>
      <w:r w:rsidR="00367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2385" w:rsidRPr="002A2C2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B64E7" w:rsidRPr="002A2C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22385" w:rsidRPr="002A2C2F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="00FB64E7" w:rsidRPr="002A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886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1E89965F" w14:textId="7C1D31C3" w:rsidR="00A05906" w:rsidRPr="004C195C" w:rsidRDefault="004C195C" w:rsidP="00D71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483886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184BE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8C4D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BEA">
        <w:rPr>
          <w:rFonts w:ascii="Times New Roman" w:hAnsi="Times New Roman" w:cs="Times New Roman"/>
          <w:sz w:val="24"/>
          <w:szCs w:val="24"/>
          <w:lang w:val="en-US"/>
        </w:rPr>
        <w:t>2017      1</w:t>
      </w:r>
      <w:r w:rsidR="00C41CF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84B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6076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41CF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B4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6207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1B84D572" w14:textId="7B44FE94" w:rsidR="00BD198C" w:rsidRPr="00BD198C" w:rsidRDefault="009009DB" w:rsidP="00D712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491F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2018      </w:t>
      </w:r>
      <w:r w:rsidR="00432156" w:rsidRPr="00CC32EE"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r w:rsidR="00432156">
        <w:rPr>
          <w:rFonts w:ascii="Times New Roman" w:hAnsi="Times New Roman" w:cs="Times New Roman"/>
          <w:b/>
          <w:color w:val="333333"/>
          <w:sz w:val="24"/>
          <w:szCs w:val="24"/>
        </w:rPr>
        <w:t>5</w:t>
      </w:r>
      <w:proofErr w:type="gramStart"/>
      <w:r w:rsidR="00432156" w:rsidRPr="00CC32EE">
        <w:rPr>
          <w:rFonts w:ascii="Times New Roman" w:hAnsi="Times New Roman" w:cs="Times New Roman"/>
          <w:b/>
          <w:color w:val="333333"/>
          <w:sz w:val="24"/>
          <w:szCs w:val="24"/>
        </w:rPr>
        <w:t>,</w:t>
      </w:r>
      <w:r w:rsidR="00432156">
        <w:rPr>
          <w:rFonts w:ascii="Times New Roman" w:hAnsi="Times New Roman" w:cs="Times New Roman"/>
          <w:b/>
          <w:color w:val="333333"/>
          <w:sz w:val="24"/>
          <w:szCs w:val="24"/>
        </w:rPr>
        <w:t>39</w:t>
      </w:r>
      <w:proofErr w:type="gramEnd"/>
      <w:r w:rsidR="00432156" w:rsidRPr="00CC32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4E">
        <w:rPr>
          <w:rFonts w:ascii="Times New Roman" w:hAnsi="Times New Roman" w:cs="Times New Roman"/>
          <w:b/>
          <w:sz w:val="24"/>
          <w:szCs w:val="24"/>
          <w:lang w:val="en-US"/>
        </w:rPr>
        <w:t>% (</w:t>
      </w:r>
      <w:r w:rsidR="00432156">
        <w:rPr>
          <w:rFonts w:ascii="Times New Roman" w:hAnsi="Times New Roman" w:cs="Times New Roman"/>
          <w:b/>
          <w:sz w:val="24"/>
          <w:szCs w:val="24"/>
          <w:lang w:val="en-US"/>
        </w:rPr>
        <w:t>June</w:t>
      </w:r>
      <w:r w:rsidRPr="00491F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E84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4A3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903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Updated as of </w:t>
      </w:r>
      <w:r w:rsidR="00432156">
        <w:rPr>
          <w:rFonts w:ascii="Times New Roman" w:hAnsi="Times New Roman" w:cs="Times New Roman"/>
          <w:b/>
          <w:sz w:val="24"/>
          <w:szCs w:val="24"/>
          <w:lang w:val="en-US"/>
        </w:rPr>
        <w:t>3 July</w:t>
      </w:r>
      <w:r w:rsidR="00B903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2018</w:t>
      </w:r>
      <w:r w:rsidR="00E84A35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</w:p>
    <w:p w14:paraId="08125145" w14:textId="77777777" w:rsidR="00CA4680" w:rsidRPr="009009DB" w:rsidRDefault="00CA4680" w:rsidP="00D71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C68E93" w14:textId="77777777" w:rsidR="009009DB" w:rsidRPr="00BD198C" w:rsidRDefault="009009DB" w:rsidP="00D712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92EE15" w14:textId="36A5271D" w:rsidR="00BD198C" w:rsidRDefault="00BD198C" w:rsidP="00BD198C">
      <w:pPr>
        <w:pStyle w:val="ListParagraph"/>
        <w:numPr>
          <w:ilvl w:val="0"/>
          <w:numId w:val="22"/>
        </w:numPr>
        <w:spacing w:after="0" w:line="24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198C">
        <w:rPr>
          <w:rFonts w:ascii="Times New Roman" w:hAnsi="Times New Roman" w:cs="Times New Roman"/>
          <w:b/>
          <w:sz w:val="24"/>
          <w:szCs w:val="24"/>
          <w:lang w:val="en-US"/>
        </w:rPr>
        <w:t>Current Account Deficit: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57,63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USD (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7B4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 xml:space="preserve">2017 - </w:t>
      </w:r>
      <w:r w:rsidR="006A67B4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 xml:space="preserve">2018) </w:t>
      </w:r>
    </w:p>
    <w:p w14:paraId="06C45BB2" w14:textId="738875E4" w:rsidR="00BD198C" w:rsidRDefault="00BD198C" w:rsidP="00A16CCF">
      <w:pPr>
        <w:spacing w:after="0" w:line="240" w:lineRule="auto"/>
        <w:ind w:left="3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5,88</w:t>
      </w:r>
      <w:r w:rsidR="006A6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USD (2018 May) (</w:t>
      </w:r>
      <w:proofErr w:type="spellStart"/>
      <w:r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of 17 </w:t>
      </w:r>
      <w:proofErr w:type="spellStart"/>
      <w:r>
        <w:rPr>
          <w:rFonts w:ascii="Times New Roman" w:hAnsi="Times New Roman" w:cs="Times New Roman"/>
          <w:sz w:val="24"/>
          <w:szCs w:val="24"/>
        </w:rPr>
        <w:t>July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2018)</w:t>
      </w:r>
    </w:p>
    <w:p w14:paraId="7E85103B" w14:textId="1E5AE47F" w:rsidR="00A16CCF" w:rsidRDefault="00A16CCF" w:rsidP="00A16CCF">
      <w:p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47,1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USD (2017)</w:t>
      </w:r>
    </w:p>
    <w:p w14:paraId="51CCAA2F" w14:textId="2596964A" w:rsidR="00A16CCF" w:rsidRPr="00B421D4" w:rsidRDefault="00A16CCF" w:rsidP="00A16CCF">
      <w:p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33,1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USD (2016)</w:t>
      </w:r>
    </w:p>
    <w:p w14:paraId="6A41C3DF" w14:textId="2080F2A8" w:rsidR="00BD198C" w:rsidRPr="00A16CCF" w:rsidRDefault="00BD198C" w:rsidP="00A16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9BF1A6" w14:textId="20E7735F" w:rsidR="00EF1E5D" w:rsidRPr="00965788" w:rsidRDefault="007429AA" w:rsidP="007429AA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2D70">
        <w:rPr>
          <w:rFonts w:ascii="Times New Roman" w:hAnsi="Times New Roman" w:cs="Times New Roman"/>
          <w:b/>
          <w:bCs/>
          <w:sz w:val="24"/>
          <w:szCs w:val="24"/>
          <w:lang w:val="en-US"/>
        </w:rPr>
        <w:t>FDI inflow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7D16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6BA045F" w14:textId="011E179A" w:rsidR="005B1C9B" w:rsidRPr="006A67B4" w:rsidRDefault="00944334" w:rsidP="005B1C9B">
      <w:pPr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944334">
        <w:rPr>
          <w:rFonts w:ascii="Times New Roman" w:hAnsi="Times New Roman" w:cs="Times New Roman"/>
          <w:b/>
          <w:sz w:val="24"/>
          <w:szCs w:val="24"/>
          <w:lang w:val="en-US"/>
        </w:rPr>
        <w:t>3.1</w:t>
      </w:r>
      <w:r w:rsidR="0038277C" w:rsidRPr="009443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5788" w:rsidRPr="00944334">
        <w:rPr>
          <w:rFonts w:ascii="Times New Roman" w:hAnsi="Times New Roman" w:cs="Times New Roman"/>
          <w:b/>
          <w:sz w:val="24"/>
          <w:szCs w:val="24"/>
          <w:lang w:val="en-US"/>
        </w:rPr>
        <w:t>billion</w:t>
      </w:r>
      <w:r w:rsidR="00965788" w:rsidRPr="005B1C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USD (2018</w:t>
      </w:r>
      <w:r w:rsidR="0087509C" w:rsidRPr="005B1C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D15114">
        <w:rPr>
          <w:rFonts w:ascii="Times New Roman" w:hAnsi="Times New Roman" w:cs="Times New Roman"/>
          <w:b/>
          <w:bCs/>
          <w:sz w:val="24"/>
          <w:szCs w:val="24"/>
          <w:lang w:val="en-US"/>
        </w:rPr>
        <w:t>January-April</w:t>
      </w:r>
      <w:r w:rsidR="00965788" w:rsidRPr="005B1C9B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965788" w:rsidRPr="005B1C9B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 3</w:t>
      </w:r>
      <w:r w:rsidR="005B1C9B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</w:t>
      </w:r>
      <w:r w:rsidRPr="006A67B4">
        <w:rPr>
          <w:rFonts w:ascii="Times New Roman" w:hAnsi="Times New Roman" w:cs="Times New Roman"/>
          <w:sz w:val="24"/>
          <w:szCs w:val="24"/>
          <w:lang w:val="en-US"/>
        </w:rPr>
        <w:t>(Updated as of 16 July 2018.)</w:t>
      </w:r>
    </w:p>
    <w:p w14:paraId="2CDAB0F3" w14:textId="47CD4E2A" w:rsidR="00EF1E5D" w:rsidRPr="00EF1E5D" w:rsidRDefault="00455C00" w:rsidP="00EF1E5D">
      <w:pPr>
        <w:spacing w:after="0" w:line="240" w:lineRule="auto"/>
        <w:ind w:left="19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625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0935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6251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="00EF1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4574">
        <w:rPr>
          <w:rFonts w:ascii="Times New Roman" w:hAnsi="Times New Roman" w:cs="Times New Roman"/>
          <w:sz w:val="24"/>
          <w:szCs w:val="24"/>
          <w:lang w:val="en-US"/>
        </w:rPr>
        <w:t>billion</w:t>
      </w:r>
      <w:r w:rsidR="00EF1E5D" w:rsidRPr="00EF1E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USD </w:t>
      </w:r>
      <w:r w:rsidR="00EF1E5D">
        <w:rPr>
          <w:rFonts w:ascii="Times New Roman" w:hAnsi="Times New Roman" w:cs="Times New Roman"/>
          <w:bCs/>
          <w:sz w:val="24"/>
          <w:szCs w:val="24"/>
          <w:lang w:val="en-US"/>
        </w:rPr>
        <w:t>(2017</w:t>
      </w:r>
      <w:r w:rsidR="00EF1E5D" w:rsidRPr="00EF1E5D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EF1E5D" w:rsidRPr="00EF1E5D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3</w:t>
      </w:r>
    </w:p>
    <w:p w14:paraId="5092A559" w14:textId="1B30F7D9" w:rsidR="007429AA" w:rsidRPr="00EF1E5D" w:rsidRDefault="00495611" w:rsidP="00EF1E5D">
      <w:pPr>
        <w:spacing w:after="0" w:line="240" w:lineRule="auto"/>
        <w:ind w:left="19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5D99" w:rsidRPr="00EF1E5D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D16251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7429AA" w:rsidRPr="00EF1E5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7B5D99" w:rsidRPr="00EF1E5D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D16251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7429AA" w:rsidRPr="00EF1E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C4574">
        <w:rPr>
          <w:rFonts w:ascii="Times New Roman" w:hAnsi="Times New Roman" w:cs="Times New Roman"/>
          <w:bCs/>
          <w:sz w:val="24"/>
          <w:szCs w:val="24"/>
          <w:lang w:val="en-US"/>
        </w:rPr>
        <w:t>billion</w:t>
      </w:r>
      <w:r w:rsidR="007429AA" w:rsidRPr="00EF1E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USD (2016)</w:t>
      </w:r>
      <w:r w:rsidR="00EF1E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5D99" w:rsidRPr="00EF1E5D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3</w:t>
      </w:r>
    </w:p>
    <w:p w14:paraId="24DE381A" w14:textId="0AFCC6BA" w:rsidR="007429AA" w:rsidRPr="00FE2D70" w:rsidRDefault="00495611" w:rsidP="00FE2D70">
      <w:pPr>
        <w:spacing w:after="0" w:line="240" w:lineRule="auto"/>
        <w:ind w:left="1416" w:firstLine="4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6E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1625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429AA" w:rsidRPr="00825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625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C4574">
        <w:rPr>
          <w:rFonts w:ascii="Times New Roman" w:hAnsi="Times New Roman" w:cs="Times New Roman"/>
          <w:sz w:val="24"/>
          <w:szCs w:val="24"/>
          <w:lang w:val="en-US"/>
        </w:rPr>
        <w:t>billion</w:t>
      </w:r>
      <w:r w:rsidR="007429AA" w:rsidRPr="008256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USD (2015)</w:t>
      </w:r>
      <w:r w:rsidR="00EF1E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5D99" w:rsidRPr="007B5D9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3</w:t>
      </w:r>
      <w:r w:rsidR="00FE2D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      </w:t>
      </w:r>
    </w:p>
    <w:p w14:paraId="0B8C3A9D" w14:textId="1F5A8212" w:rsidR="00495611" w:rsidRDefault="00495611" w:rsidP="00A05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</w:pPr>
    </w:p>
    <w:p w14:paraId="38FE8AAA" w14:textId="12FE5885" w:rsidR="00495611" w:rsidRPr="00B903A5" w:rsidRDefault="00495611" w:rsidP="00495611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Reserve of Foreign E</w:t>
      </w:r>
      <w:r w:rsidRPr="009C2E19">
        <w:rPr>
          <w:rFonts w:ascii="Times New Roman" w:hAnsi="Times New Roman" w:cs="Times New Roman"/>
          <w:b/>
          <w:sz w:val="24"/>
          <w:szCs w:val="24"/>
          <w:lang w:val="en-US"/>
        </w:rPr>
        <w:t>xchange</w:t>
      </w:r>
      <w:r w:rsidR="00B844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Central Bank of Turkey</w:t>
      </w:r>
      <w:r w:rsidRPr="00C331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C4258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3569C8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0D6207" w:rsidRPr="00B903A5">
        <w:rPr>
          <w:rFonts w:ascii="Times New Roman" w:hAnsi="Times New Roman" w:cs="Times New Roman"/>
          <w:b/>
          <w:color w:val="292F33"/>
          <w:sz w:val="24"/>
          <w:szCs w:val="24"/>
        </w:rPr>
        <w:t>.</w:t>
      </w:r>
      <w:r w:rsidR="003569C8">
        <w:rPr>
          <w:rFonts w:ascii="Times New Roman" w:hAnsi="Times New Roman" w:cs="Times New Roman"/>
          <w:b/>
          <w:color w:val="292F33"/>
          <w:sz w:val="24"/>
          <w:szCs w:val="24"/>
        </w:rPr>
        <w:t>3</w:t>
      </w:r>
      <w:r w:rsidRPr="00B903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billion USD </w:t>
      </w:r>
      <w:r w:rsidRPr="006A67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903A5" w:rsidRPr="006A67B4">
        <w:rPr>
          <w:rFonts w:ascii="Times New Roman" w:hAnsi="Times New Roman" w:cs="Times New Roman"/>
          <w:sz w:val="24"/>
          <w:szCs w:val="24"/>
          <w:lang w:val="en-US"/>
        </w:rPr>
        <w:t xml:space="preserve">Updated as of </w:t>
      </w:r>
      <w:r w:rsidR="002C4258" w:rsidRPr="006A67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569C8" w:rsidRPr="006A67B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A6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838" w:rsidRPr="006A67B4">
        <w:rPr>
          <w:rFonts w:ascii="Times New Roman" w:hAnsi="Times New Roman" w:cs="Times New Roman"/>
          <w:sz w:val="24"/>
          <w:szCs w:val="24"/>
          <w:lang w:val="en-US"/>
        </w:rPr>
        <w:t>June</w:t>
      </w:r>
      <w:r w:rsidRPr="006A67B4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B903A5" w:rsidRPr="006A67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A67B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A67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77AA7628" w14:textId="77777777" w:rsidR="008F7462" w:rsidRPr="00B903A5" w:rsidRDefault="008F7462" w:rsidP="008F74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EA8D4A" w14:textId="77A19CFE" w:rsidR="00786469" w:rsidRPr="00CB5AF9" w:rsidRDefault="00CB5AF9" w:rsidP="00CB5A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CB5AF9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7429AA" w:rsidRPr="00CB5AF9">
        <w:rPr>
          <w:rFonts w:ascii="Times New Roman" w:hAnsi="Times New Roman" w:cs="Times New Roman"/>
          <w:b/>
          <w:bCs/>
          <w:sz w:val="24"/>
          <w:szCs w:val="24"/>
          <w:lang w:val="en-US"/>
        </w:rPr>
        <w:t>xports</w:t>
      </w:r>
      <w:r w:rsidR="007429AA" w:rsidRPr="00CB5A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="00FB41D2" w:rsidRPr="00CB5A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321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432156">
        <w:rPr>
          <w:rFonts w:ascii="Times New Roman" w:hAnsi="Times New Roman" w:cs="Times New Roman"/>
          <w:bCs/>
          <w:sz w:val="24"/>
          <w:szCs w:val="24"/>
        </w:rPr>
        <w:t xml:space="preserve">82.2  </w:t>
      </w:r>
      <w:r w:rsidR="00432156">
        <w:rPr>
          <w:rFonts w:ascii="Times New Roman" w:hAnsi="Times New Roman" w:cs="Times New Roman"/>
          <w:bCs/>
          <w:sz w:val="24"/>
          <w:szCs w:val="24"/>
          <w:lang w:val="en-US"/>
        </w:rPr>
        <w:t>billion USD (2018, first half</w:t>
      </w:r>
      <w:r w:rsidR="00786469" w:rsidRPr="00CB5A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786469" w:rsidRPr="00CB5AF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16E0A021" w14:textId="5044A969" w:rsidR="00C21B1B" w:rsidRPr="00786469" w:rsidRDefault="00786469" w:rsidP="0078646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</w:t>
      </w:r>
      <w:r w:rsidR="00C21B1B" w:rsidRPr="0078646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B56E97" w:rsidRPr="00786469">
        <w:rPr>
          <w:rFonts w:ascii="Times New Roman" w:hAnsi="Times New Roman" w:cs="Times New Roman"/>
          <w:bCs/>
          <w:sz w:val="24"/>
          <w:szCs w:val="24"/>
          <w:lang w:val="en-US"/>
        </w:rPr>
        <w:t>57</w:t>
      </w:r>
      <w:r w:rsidR="00495611" w:rsidRPr="007864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321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C21B1B" w:rsidRPr="00786469">
        <w:rPr>
          <w:rFonts w:ascii="Times New Roman" w:hAnsi="Times New Roman" w:cs="Times New Roman"/>
          <w:bCs/>
          <w:sz w:val="24"/>
          <w:szCs w:val="24"/>
          <w:lang w:val="en-US"/>
        </w:rPr>
        <w:t>billion USD (2017)</w:t>
      </w:r>
      <w:r w:rsidR="0011608A" w:rsidRPr="0078646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1</w:t>
      </w:r>
      <w:r w:rsidR="00FB41D2" w:rsidRPr="007864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B0C290D" w14:textId="7523F5BC" w:rsidR="00B74645" w:rsidRDefault="00B74645" w:rsidP="00B74645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r w:rsidRPr="00B746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143</w:t>
      </w:r>
      <w:r w:rsidR="004321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6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D6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645">
        <w:rPr>
          <w:rFonts w:ascii="Times New Roman" w:hAnsi="Times New Roman" w:cs="Times New Roman"/>
          <w:bCs/>
          <w:sz w:val="24"/>
          <w:szCs w:val="24"/>
          <w:lang w:val="en-US"/>
        </w:rPr>
        <w:t>billion USD (2016)</w:t>
      </w:r>
      <w:r w:rsidRPr="00B74645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1</w:t>
      </w:r>
    </w:p>
    <w:p w14:paraId="6E6CEBB4" w14:textId="11C54119" w:rsidR="00DC26FD" w:rsidRPr="00CB5AF9" w:rsidRDefault="00495611" w:rsidP="00CB5AF9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B5A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DC26FD" w:rsidRPr="00CB5A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billion USD (2015) </w:t>
      </w:r>
      <w:r w:rsidR="000D6207" w:rsidRPr="00CB5AF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5D4FC7A7" w14:textId="77777777" w:rsidR="00CB5AF9" w:rsidRDefault="002F2511" w:rsidP="00CB5AF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</w:t>
      </w:r>
    </w:p>
    <w:p w14:paraId="4395D08F" w14:textId="6E219489" w:rsidR="00786469" w:rsidRPr="00CB5AF9" w:rsidRDefault="00CB5AF9" w:rsidP="00CB5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</w:t>
      </w:r>
      <w:r w:rsidR="007429AA" w:rsidRPr="00CB5AF9">
        <w:rPr>
          <w:rFonts w:ascii="Times New Roman" w:hAnsi="Times New Roman" w:cs="Times New Roman"/>
          <w:b/>
          <w:bCs/>
          <w:sz w:val="24"/>
          <w:szCs w:val="24"/>
          <w:lang w:val="en-US"/>
        </w:rPr>
        <w:t>Imports</w:t>
      </w:r>
      <w:r w:rsidR="007429AA" w:rsidRPr="00CB5AF9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2F0E1D" w:rsidRPr="00CB5A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B41D2" w:rsidRPr="00CB5A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95611" w:rsidRPr="00CB5A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86469" w:rsidRPr="00CB5A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32156">
        <w:rPr>
          <w:rFonts w:ascii="Times New Roman" w:hAnsi="Times New Roman" w:cs="Times New Roman"/>
          <w:bCs/>
          <w:sz w:val="24"/>
          <w:szCs w:val="24"/>
        </w:rPr>
        <w:t>122</w:t>
      </w:r>
      <w:proofErr w:type="gramStart"/>
      <w:r w:rsidR="00432156">
        <w:rPr>
          <w:rFonts w:ascii="Times New Roman" w:hAnsi="Times New Roman" w:cs="Times New Roman"/>
          <w:bCs/>
          <w:sz w:val="24"/>
          <w:szCs w:val="24"/>
        </w:rPr>
        <w:t>,9</w:t>
      </w:r>
      <w:proofErr w:type="gramEnd"/>
      <w:r w:rsidR="0043215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86469" w:rsidRPr="00CB5A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billion USD (2018, first </w:t>
      </w:r>
      <w:r w:rsidR="00432156">
        <w:rPr>
          <w:rFonts w:ascii="Times New Roman" w:hAnsi="Times New Roman" w:cs="Times New Roman"/>
          <w:bCs/>
          <w:sz w:val="24"/>
          <w:szCs w:val="24"/>
          <w:lang w:val="en-US"/>
        </w:rPr>
        <w:t>half</w:t>
      </w:r>
      <w:r w:rsidR="00786469" w:rsidRPr="00CB5A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786469" w:rsidRPr="00CB5AF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786469" w:rsidRPr="00CB5A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EF0776D" w14:textId="1B42ACDD" w:rsidR="0011608A" w:rsidRPr="00786469" w:rsidRDefault="00786469" w:rsidP="00786469">
      <w:pPr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864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r w:rsidR="00136923" w:rsidRPr="00786469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B56E97" w:rsidRPr="00786469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A4289E" w:rsidRPr="00786469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C21B1B" w:rsidRPr="0078646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A4289E" w:rsidRPr="00786469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="00C21B1B" w:rsidRPr="007864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E2482" w:rsidRPr="007864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321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C21B1B" w:rsidRPr="00786469">
        <w:rPr>
          <w:rFonts w:ascii="Times New Roman" w:hAnsi="Times New Roman" w:cs="Times New Roman"/>
          <w:bCs/>
          <w:sz w:val="24"/>
          <w:szCs w:val="24"/>
          <w:lang w:val="en-US"/>
        </w:rPr>
        <w:t>billion USD (2017)</w:t>
      </w:r>
      <w:r w:rsidR="0011608A" w:rsidRPr="0078646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1</w:t>
      </w:r>
    </w:p>
    <w:p w14:paraId="2CC76B39" w14:textId="3F577EEA" w:rsidR="00F80516" w:rsidRDefault="00F80516" w:rsidP="0011608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</w:t>
      </w:r>
      <w:r w:rsidR="00FE2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F805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199 </w:t>
      </w:r>
      <w:r w:rsidR="004956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Pr="00F80516">
        <w:rPr>
          <w:rFonts w:ascii="Times New Roman" w:hAnsi="Times New Roman" w:cs="Times New Roman"/>
          <w:bCs/>
          <w:sz w:val="24"/>
          <w:szCs w:val="24"/>
          <w:lang w:val="en-US"/>
        </w:rPr>
        <w:t>billion USD (2016)</w:t>
      </w:r>
      <w:r w:rsidRPr="00F80516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1</w:t>
      </w:r>
    </w:p>
    <w:p w14:paraId="1C2C7F42" w14:textId="7CAB1D34" w:rsidR="00F80516" w:rsidRPr="00F80516" w:rsidRDefault="00F80516" w:rsidP="001160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</w:t>
      </w:r>
      <w:r w:rsidR="00FE2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F80516">
        <w:rPr>
          <w:rFonts w:ascii="Times New Roman" w:hAnsi="Times New Roman" w:cs="Times New Roman"/>
          <w:bCs/>
          <w:sz w:val="24"/>
          <w:szCs w:val="24"/>
          <w:lang w:val="en-US"/>
        </w:rPr>
        <w:t>207.2 billion USD (2015)</w:t>
      </w:r>
      <w:r w:rsidRPr="00F80516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</w:p>
    <w:p w14:paraId="0DFF205B" w14:textId="15E3147E" w:rsidR="00786469" w:rsidRDefault="00C21B1B" w:rsidP="004825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60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1608A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786469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</w:p>
    <w:p w14:paraId="2A4FD7A3" w14:textId="340063BD" w:rsidR="007429AA" w:rsidRPr="004825F6" w:rsidRDefault="0011608A" w:rsidP="004825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7429AA" w:rsidRPr="004825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</w:p>
    <w:p w14:paraId="7CF7A0D9" w14:textId="485570CE" w:rsidR="00F27975" w:rsidRPr="00F27975" w:rsidRDefault="007429AA" w:rsidP="00F27975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E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Trade </w:t>
      </w:r>
      <w:r w:rsidR="00A8114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C2E19">
        <w:rPr>
          <w:rFonts w:ascii="Times New Roman" w:hAnsi="Times New Roman" w:cs="Times New Roman"/>
          <w:b/>
          <w:bCs/>
          <w:sz w:val="24"/>
          <w:szCs w:val="24"/>
          <w:lang w:val="en-US"/>
        </w:rPr>
        <w:t>olume</w:t>
      </w:r>
      <w:r w:rsidR="002F0E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="004956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432156">
        <w:rPr>
          <w:rFonts w:ascii="Times New Roman" w:hAnsi="Times New Roman" w:cs="Times New Roman"/>
          <w:sz w:val="24"/>
          <w:szCs w:val="24"/>
          <w:lang w:val="en-US"/>
        </w:rPr>
        <w:t xml:space="preserve">205.2  </w:t>
      </w:r>
      <w:r w:rsidR="00786469">
        <w:rPr>
          <w:rFonts w:ascii="Times New Roman" w:hAnsi="Times New Roman" w:cs="Times New Roman"/>
          <w:sz w:val="24"/>
          <w:szCs w:val="24"/>
          <w:lang w:val="en-US"/>
        </w:rPr>
        <w:t>billion USD (</w:t>
      </w:r>
      <w:r w:rsidR="00432156">
        <w:rPr>
          <w:rFonts w:ascii="Times New Roman" w:hAnsi="Times New Roman" w:cs="Times New Roman"/>
          <w:bCs/>
          <w:sz w:val="24"/>
          <w:szCs w:val="24"/>
          <w:lang w:val="en-US"/>
        </w:rPr>
        <w:t>(2018, first half</w:t>
      </w:r>
      <w:r w:rsidR="007864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7864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7864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6CD2A5C2" w14:textId="66E5E235" w:rsidR="00C21B1B" w:rsidRPr="00F27975" w:rsidRDefault="00F27975" w:rsidP="00F27975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</w:t>
      </w:r>
      <w:proofErr w:type="gramStart"/>
      <w:r w:rsidR="00CF6D85" w:rsidRPr="00F27975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B56E97" w:rsidRPr="00F27975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="00A4289E" w:rsidRPr="00F27975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="004825F6" w:rsidRPr="00F2797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517FDC" w:rsidRPr="00F27975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="00C21B1B" w:rsidRPr="00F279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74C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21B1B" w:rsidRPr="00F27975">
        <w:rPr>
          <w:rFonts w:ascii="Times New Roman" w:hAnsi="Times New Roman" w:cs="Times New Roman"/>
          <w:bCs/>
          <w:sz w:val="24"/>
          <w:szCs w:val="24"/>
          <w:lang w:val="en-US"/>
        </w:rPr>
        <w:t>billion</w:t>
      </w:r>
      <w:proofErr w:type="gramEnd"/>
      <w:r w:rsidR="00C21B1B" w:rsidRPr="00F279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USD (2017)</w:t>
      </w:r>
      <w:r w:rsidR="0011608A" w:rsidRPr="00F27975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1</w:t>
      </w:r>
    </w:p>
    <w:p w14:paraId="0C9EC634" w14:textId="1C23FB59" w:rsidR="003E5C21" w:rsidRDefault="003E5C21" w:rsidP="003E5C2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</w:t>
      </w:r>
      <w:r w:rsidR="004956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E5C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342 </w:t>
      </w:r>
      <w:r w:rsidR="004956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D74C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E5C21">
        <w:rPr>
          <w:rFonts w:ascii="Times New Roman" w:hAnsi="Times New Roman" w:cs="Times New Roman"/>
          <w:bCs/>
          <w:sz w:val="24"/>
          <w:szCs w:val="24"/>
          <w:lang w:val="en-US"/>
        </w:rPr>
        <w:t>billion USD (2016)</w:t>
      </w:r>
      <w:r w:rsidRPr="003E5C2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1</w:t>
      </w:r>
    </w:p>
    <w:p w14:paraId="5674F3C0" w14:textId="42BEFE3F" w:rsidR="00DC26FD" w:rsidRDefault="003E5C21" w:rsidP="00DC26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</w:t>
      </w:r>
      <w:r w:rsidR="006D58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E5C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351 </w:t>
      </w:r>
      <w:r w:rsidR="004956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D74C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3E5C21">
        <w:rPr>
          <w:rFonts w:ascii="Times New Roman" w:hAnsi="Times New Roman" w:cs="Times New Roman"/>
          <w:bCs/>
          <w:sz w:val="24"/>
          <w:szCs w:val="24"/>
          <w:lang w:val="en-US"/>
        </w:rPr>
        <w:t>billion USD (2015)</w:t>
      </w:r>
      <w:r w:rsidRPr="003E5C2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</w:t>
      </w:r>
      <w:r w:rsidRPr="00F80516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</w:p>
    <w:p w14:paraId="2E74B0C0" w14:textId="3CEF1818" w:rsidR="00DC26FD" w:rsidRDefault="00786469" w:rsidP="00DC26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</w:p>
    <w:p w14:paraId="542D3782" w14:textId="77777777" w:rsidR="00786469" w:rsidRDefault="00786469" w:rsidP="00DC26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BE50D1" w14:textId="67FAB10D" w:rsidR="00F27975" w:rsidRPr="00F27975" w:rsidRDefault="004825F6" w:rsidP="00F27975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26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Trade </w:t>
      </w:r>
      <w:r w:rsidR="00A8114E" w:rsidRPr="00DC26F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DC26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alance: </w:t>
      </w:r>
      <w:r w:rsidR="008127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27975" w:rsidRPr="00F2797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32156">
        <w:rPr>
          <w:rFonts w:ascii="Times New Roman" w:hAnsi="Times New Roman" w:cs="Times New Roman"/>
          <w:bCs/>
          <w:sz w:val="24"/>
          <w:szCs w:val="24"/>
        </w:rPr>
        <w:t>40.7</w:t>
      </w:r>
      <w:r w:rsidR="00432156" w:rsidRPr="00750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1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27975">
        <w:rPr>
          <w:rFonts w:ascii="Times New Roman" w:hAnsi="Times New Roman" w:cs="Times New Roman"/>
          <w:bCs/>
          <w:sz w:val="24"/>
          <w:szCs w:val="24"/>
          <w:lang w:val="en-US"/>
        </w:rPr>
        <w:t>billion USD (2018,</w:t>
      </w:r>
      <w:r w:rsidR="00A44084" w:rsidRPr="00A440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440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first </w:t>
      </w:r>
      <w:r w:rsidR="00432156">
        <w:rPr>
          <w:rFonts w:ascii="Times New Roman" w:hAnsi="Times New Roman" w:cs="Times New Roman"/>
          <w:bCs/>
          <w:sz w:val="24"/>
          <w:szCs w:val="24"/>
          <w:lang w:val="en-US"/>
        </w:rPr>
        <w:t>half</w:t>
      </w:r>
      <w:r w:rsidR="00F27975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F27975" w:rsidRPr="00F27975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1</w:t>
      </w:r>
    </w:p>
    <w:p w14:paraId="2602D364" w14:textId="6599CB8E" w:rsidR="004825F6" w:rsidRPr="00F27975" w:rsidRDefault="00F27975" w:rsidP="00F27975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4825F6" w:rsidRPr="00F2797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21745" w:rsidRPr="00F2797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4289E" w:rsidRPr="00F2797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825F6" w:rsidRPr="00F2797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B2D7B" w:rsidRPr="00F2797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825F6" w:rsidRPr="00F279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95611" w:rsidRPr="00F279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825F6" w:rsidRPr="00F27975">
        <w:rPr>
          <w:rFonts w:ascii="Times New Roman" w:hAnsi="Times New Roman" w:cs="Times New Roman"/>
          <w:bCs/>
          <w:sz w:val="24"/>
          <w:szCs w:val="24"/>
          <w:lang w:val="en-US"/>
        </w:rPr>
        <w:t>billion USD (2017)</w:t>
      </w:r>
      <w:r w:rsidR="004825F6" w:rsidRPr="00F27975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1</w:t>
      </w:r>
    </w:p>
    <w:p w14:paraId="23857FBA" w14:textId="4EDD1230" w:rsidR="00E63B1E" w:rsidRDefault="00E63B1E" w:rsidP="00E63B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 w:rsidRPr="00E63B1E">
        <w:rPr>
          <w:rFonts w:ascii="Times New Roman" w:hAnsi="Times New Roman" w:cs="Times New Roman"/>
          <w:sz w:val="24"/>
          <w:szCs w:val="24"/>
          <w:lang w:val="en-US"/>
        </w:rPr>
        <w:t xml:space="preserve">   -56 </w:t>
      </w:r>
      <w:r w:rsidR="004956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279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63B1E">
        <w:rPr>
          <w:rFonts w:ascii="Times New Roman" w:hAnsi="Times New Roman" w:cs="Times New Roman"/>
          <w:sz w:val="24"/>
          <w:szCs w:val="24"/>
          <w:lang w:val="en-US"/>
        </w:rPr>
        <w:t>billion USD (2016)</w:t>
      </w:r>
      <w:r w:rsidR="00A8114E" w:rsidRPr="00E63B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3B1E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</w:p>
    <w:p w14:paraId="2E5A9283" w14:textId="51A283D5" w:rsidR="00A8114E" w:rsidRPr="00E63B1E" w:rsidRDefault="00E63B1E" w:rsidP="00E63B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F279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</w:t>
      </w:r>
      <w:r w:rsidRPr="00E63B1E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63B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63.4 </w:t>
      </w:r>
      <w:r w:rsidR="00F279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Pr="00E63B1E">
        <w:rPr>
          <w:rFonts w:ascii="Times New Roman" w:hAnsi="Times New Roman" w:cs="Times New Roman"/>
          <w:bCs/>
          <w:sz w:val="24"/>
          <w:szCs w:val="24"/>
          <w:lang w:val="en-US"/>
        </w:rPr>
        <w:t>billion USD (2015)</w:t>
      </w:r>
      <w:r w:rsidRPr="00E63B1E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 w:rsidR="00A8114E" w:rsidRPr="00E63B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2984080" w14:textId="77777777" w:rsidR="007429AA" w:rsidRPr="001C338B" w:rsidRDefault="007429AA" w:rsidP="0074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8B2D8F" w14:textId="2B877F5D" w:rsidR="00F136D5" w:rsidRPr="00F136D5" w:rsidRDefault="00AF280E" w:rsidP="008748F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36D5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EF1313" w:rsidRPr="00F136D5">
        <w:rPr>
          <w:rFonts w:ascii="Times New Roman" w:hAnsi="Times New Roman" w:cs="Times New Roman"/>
          <w:b/>
          <w:sz w:val="24"/>
          <w:szCs w:val="24"/>
          <w:lang w:val="en-US"/>
        </w:rPr>
        <w:t>ate of Exports Meeting I</w:t>
      </w:r>
      <w:r w:rsidRPr="00F136D5">
        <w:rPr>
          <w:rFonts w:ascii="Times New Roman" w:hAnsi="Times New Roman" w:cs="Times New Roman"/>
          <w:b/>
          <w:sz w:val="24"/>
          <w:szCs w:val="24"/>
          <w:lang w:val="en-US"/>
        </w:rPr>
        <w:t>mports</w:t>
      </w:r>
      <w:r w:rsidRPr="00F136D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136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21745" w:rsidRPr="00F136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127D6" w:rsidRPr="008127D6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966C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136D5" w:rsidRPr="008127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4433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136D5" w:rsidRPr="00F136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6D5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="00F136D5" w:rsidRPr="00F136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(2018, </w:t>
      </w:r>
      <w:r w:rsidR="001966C8">
        <w:rPr>
          <w:rFonts w:ascii="Times New Roman" w:hAnsi="Times New Roman" w:cs="Times New Roman"/>
          <w:bCs/>
          <w:sz w:val="24"/>
          <w:szCs w:val="24"/>
          <w:lang w:val="en-US"/>
        </w:rPr>
        <w:t>first quarter</w:t>
      </w:r>
      <w:r w:rsidR="00F136D5" w:rsidRPr="00F136D5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F136D5" w:rsidRPr="00F136D5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1</w:t>
      </w:r>
    </w:p>
    <w:p w14:paraId="15EF3BE7" w14:textId="02B51A39" w:rsidR="00AF280E" w:rsidRPr="00F136D5" w:rsidRDefault="00F136D5" w:rsidP="00F136D5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</w:t>
      </w:r>
      <w:r w:rsidR="00DD20E4" w:rsidRPr="00F136D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21745" w:rsidRPr="00F136D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36923" w:rsidRPr="00F136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289E" w:rsidRPr="00F136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0784B" w:rsidRPr="00F136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80E" w:rsidRPr="00F136D5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E17C43" w:rsidRPr="00F136D5">
        <w:rPr>
          <w:rFonts w:ascii="Times New Roman" w:hAnsi="Times New Roman" w:cs="Times New Roman"/>
          <w:sz w:val="24"/>
          <w:szCs w:val="24"/>
          <w:lang w:val="en-US"/>
        </w:rPr>
        <w:t xml:space="preserve"> (201</w:t>
      </w:r>
      <w:r w:rsidR="00D0784B" w:rsidRPr="00F136D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F0E1D" w:rsidRPr="00F136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97BAA" w:rsidRPr="00F136D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61924ACD" w14:textId="5ACE4BC5" w:rsidR="00BB5FE4" w:rsidRDefault="00BB5FE4" w:rsidP="00BB5FE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</w:t>
      </w:r>
      <w:r w:rsidRPr="00BB5FE4">
        <w:rPr>
          <w:rFonts w:ascii="Times New Roman" w:hAnsi="Times New Roman" w:cs="Times New Roman"/>
          <w:sz w:val="24"/>
          <w:szCs w:val="24"/>
          <w:lang w:val="en-US"/>
        </w:rPr>
        <w:t>71.8 %</w:t>
      </w:r>
      <w:r w:rsidRPr="00BB5F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B5FE4">
        <w:rPr>
          <w:rFonts w:ascii="Times New Roman" w:hAnsi="Times New Roman" w:cs="Times New Roman"/>
          <w:sz w:val="24"/>
          <w:szCs w:val="24"/>
          <w:lang w:val="en-US"/>
        </w:rPr>
        <w:t xml:space="preserve">(2016) </w:t>
      </w:r>
      <w:r w:rsidRPr="00BB5FE4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</w:p>
    <w:p w14:paraId="1B495B3F" w14:textId="6E36AF51" w:rsidR="00D0784B" w:rsidRPr="00532DCF" w:rsidRDefault="00532DCF" w:rsidP="00532DC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</w:t>
      </w:r>
      <w:r w:rsidR="00BB5FE4" w:rsidRPr="00BB5FE4">
        <w:rPr>
          <w:rFonts w:ascii="Times New Roman" w:hAnsi="Times New Roman" w:cs="Times New Roman"/>
          <w:bCs/>
          <w:sz w:val="24"/>
          <w:szCs w:val="24"/>
          <w:lang w:val="en-US"/>
        </w:rPr>
        <w:t>69.4 % (2015)</w:t>
      </w:r>
      <w:r w:rsidRPr="00532DCF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</w:t>
      </w:r>
      <w:r w:rsidRPr="00BB5FE4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 w:rsidR="00BB5FE4" w:rsidRPr="00BB5FE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07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</w:p>
    <w:p w14:paraId="15D9D8C0" w14:textId="47ED6063" w:rsidR="00AF280E" w:rsidRDefault="00AF280E" w:rsidP="00AF280E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28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789789E2" w14:textId="68918DB9" w:rsidR="00BD198C" w:rsidRDefault="00BD198C" w:rsidP="00AF280E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F6DE54" w14:textId="77777777" w:rsidR="00BD198C" w:rsidRPr="00AF280E" w:rsidRDefault="00BD198C" w:rsidP="00AF280E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5CEA55" w14:textId="69ACFCD1" w:rsidR="007429AA" w:rsidRPr="00483886" w:rsidRDefault="007429AA" w:rsidP="007429AA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E19">
        <w:rPr>
          <w:rFonts w:ascii="Times New Roman" w:hAnsi="Times New Roman" w:cs="Times New Roman"/>
          <w:b/>
          <w:bCs/>
          <w:sz w:val="24"/>
          <w:szCs w:val="24"/>
          <w:lang w:val="en-US"/>
        </w:rPr>
        <w:t>Turkish Official Development Assistance</w:t>
      </w:r>
      <w:r w:rsidRPr="00457B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="004956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57B63"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457B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billion USD in 201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9A3A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C383D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4</w:t>
      </w:r>
    </w:p>
    <w:p w14:paraId="785A92DB" w14:textId="0AF037C3" w:rsidR="001D0648" w:rsidRDefault="00483886" w:rsidP="001D06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6.</w:t>
      </w:r>
      <w:r w:rsidR="001319A7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billion USD in 2016 </w:t>
      </w:r>
      <w:r w:rsidR="00D0784B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4</w:t>
      </w:r>
    </w:p>
    <w:p w14:paraId="71760E1A" w14:textId="595F93EA" w:rsidR="001D0648" w:rsidRDefault="001D0648" w:rsidP="001D06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D62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408FA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="001319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billion USD in 2017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4</w:t>
      </w:r>
    </w:p>
    <w:p w14:paraId="54B62F1A" w14:textId="2CF16308" w:rsidR="007429AA" w:rsidRPr="00944334" w:rsidRDefault="007429AA" w:rsidP="007429AA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E19">
        <w:rPr>
          <w:rFonts w:ascii="Times New Roman" w:hAnsi="Times New Roman" w:cs="Times New Roman"/>
          <w:b/>
          <w:sz w:val="24"/>
          <w:szCs w:val="24"/>
          <w:lang w:val="en-US"/>
        </w:rPr>
        <w:t>Banking Sector Capital Adequacy Ratio</w:t>
      </w:r>
      <w:r w:rsidR="00AE351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719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E35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44334">
        <w:rPr>
          <w:rFonts w:ascii="Times New Roman" w:hAnsi="Times New Roman" w:cs="Times New Roman"/>
          <w:sz w:val="24"/>
          <w:szCs w:val="24"/>
          <w:lang w:val="en-US"/>
        </w:rPr>
        <w:t>5.9</w:t>
      </w:r>
      <w:r w:rsidR="00AE3518">
        <w:rPr>
          <w:rFonts w:ascii="Times New Roman" w:hAnsi="Times New Roman" w:cs="Times New Roman"/>
          <w:sz w:val="24"/>
          <w:szCs w:val="24"/>
          <w:lang w:val="en-US"/>
        </w:rPr>
        <w:t xml:space="preserve"> % (201</w:t>
      </w:r>
      <w:r w:rsidR="000D6207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E35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44334">
        <w:rPr>
          <w:rFonts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D5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6C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5F36E440" w14:textId="2311A1E7" w:rsidR="00944334" w:rsidRPr="00944334" w:rsidRDefault="00944334" w:rsidP="00944334">
      <w:pPr>
        <w:spacing w:after="0" w:line="240" w:lineRule="auto"/>
        <w:ind w:left="643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944334">
        <w:rPr>
          <w:rFonts w:ascii="Times New Roman" w:hAnsi="Times New Roman" w:cs="Times New Roman"/>
          <w:b/>
          <w:sz w:val="24"/>
          <w:szCs w:val="24"/>
          <w:lang w:val="en-US"/>
        </w:rPr>
        <w:t>Updated as of 16 July 2018.)</w:t>
      </w:r>
    </w:p>
    <w:p w14:paraId="1AAD7AC7" w14:textId="55D8572E" w:rsidR="00CF4E8F" w:rsidRPr="00944334" w:rsidRDefault="002B0B40" w:rsidP="009E3BC2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4E8F">
        <w:rPr>
          <w:rFonts w:ascii="Times New Roman" w:hAnsi="Times New Roman" w:cs="Times New Roman"/>
          <w:sz w:val="24"/>
          <w:szCs w:val="24"/>
          <w:lang w:val="en-US"/>
        </w:rPr>
        <w:t xml:space="preserve">% (2016, </w:t>
      </w:r>
      <w:r w:rsidR="00C409DE" w:rsidRPr="00CF4E8F">
        <w:rPr>
          <w:rFonts w:ascii="Times New Roman" w:hAnsi="Times New Roman" w:cs="Times New Roman"/>
          <w:sz w:val="24"/>
          <w:szCs w:val="24"/>
          <w:lang w:val="en-US"/>
        </w:rPr>
        <w:t>December</w:t>
      </w:r>
      <w:r w:rsidRPr="00CF4E8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F4E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2  </w:t>
      </w:r>
    </w:p>
    <w:p w14:paraId="67956DB4" w14:textId="77777777" w:rsidR="00944334" w:rsidRPr="00944334" w:rsidRDefault="00944334" w:rsidP="00944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45672F" w14:textId="65DCF7DA" w:rsidR="00944334" w:rsidRPr="00944334" w:rsidRDefault="005C0858" w:rsidP="00944334">
      <w:pPr>
        <w:pStyle w:val="ListParagraph"/>
        <w:numPr>
          <w:ilvl w:val="0"/>
          <w:numId w:val="1"/>
        </w:numPr>
        <w:spacing w:after="0" w:line="240" w:lineRule="auto"/>
        <w:ind w:left="708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Private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Sector</w:t>
      </w:r>
      <w:proofErr w:type="spellEnd"/>
      <w:r w:rsidRPr="008F22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External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Debt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Stock</w:t>
      </w:r>
      <w:proofErr w:type="spellEnd"/>
      <w:r w:rsidR="00414D68">
        <w:rPr>
          <w:rFonts w:ascii="Times New Roman" w:hAnsi="Times New Roman" w:cs="Times New Roman"/>
          <w:sz w:val="24"/>
          <w:szCs w:val="24"/>
        </w:rPr>
        <w:t xml:space="preserve">: </w:t>
      </w:r>
      <w:r w:rsidR="00944334">
        <w:rPr>
          <w:rFonts w:ascii="Times New Roman" w:hAnsi="Times New Roman" w:cs="Times New Roman"/>
          <w:sz w:val="24"/>
          <w:szCs w:val="24"/>
        </w:rPr>
        <w:t xml:space="preserve">325.1 </w:t>
      </w:r>
      <w:proofErr w:type="spellStart"/>
      <w:r w:rsidR="00944334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="00944334">
        <w:rPr>
          <w:rFonts w:ascii="Times New Roman" w:hAnsi="Times New Roman" w:cs="Times New Roman"/>
          <w:sz w:val="24"/>
          <w:szCs w:val="24"/>
        </w:rPr>
        <w:t xml:space="preserve"> USD </w:t>
      </w:r>
      <w:proofErr w:type="spellStart"/>
      <w:r w:rsidR="00944334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="00944334">
        <w:rPr>
          <w:rFonts w:ascii="Times New Roman" w:hAnsi="Times New Roman" w:cs="Times New Roman"/>
          <w:sz w:val="24"/>
          <w:szCs w:val="24"/>
        </w:rPr>
        <w:t xml:space="preserve"> (2018, </w:t>
      </w:r>
      <w:proofErr w:type="spellStart"/>
      <w:r w:rsidR="00944334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94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334">
        <w:rPr>
          <w:rFonts w:ascii="Times New Roman" w:hAnsi="Times New Roman" w:cs="Times New Roman"/>
          <w:sz w:val="24"/>
          <w:szCs w:val="24"/>
        </w:rPr>
        <w:t>quarter</w:t>
      </w:r>
      <w:proofErr w:type="spellEnd"/>
      <w:r w:rsidR="00944334">
        <w:rPr>
          <w:rFonts w:ascii="Times New Roman" w:hAnsi="Times New Roman" w:cs="Times New Roman"/>
          <w:sz w:val="24"/>
          <w:szCs w:val="24"/>
        </w:rPr>
        <w:t xml:space="preserve">)  </w:t>
      </w:r>
      <w:r w:rsidR="00033F3C">
        <w:rPr>
          <w:rFonts w:ascii="Times New Roman" w:hAnsi="Times New Roman" w:cs="Times New Roman"/>
          <w:sz w:val="24"/>
          <w:szCs w:val="24"/>
        </w:rPr>
        <w:t>(</w:t>
      </w:r>
      <w:r w:rsidR="00944334" w:rsidRPr="00033F3C">
        <w:rPr>
          <w:rFonts w:ascii="Times New Roman" w:hAnsi="Times New Roman" w:cs="Times New Roman"/>
          <w:sz w:val="24"/>
          <w:szCs w:val="24"/>
          <w:lang w:val="en-US"/>
        </w:rPr>
        <w:t>Updated as of 16 July 2018.)</w:t>
      </w:r>
    </w:p>
    <w:p w14:paraId="632ABD28" w14:textId="15224C38" w:rsidR="005C0858" w:rsidRDefault="00944334" w:rsidP="00944334">
      <w:pPr>
        <w:pStyle w:val="ListParagraph"/>
        <w:spacing w:after="0" w:line="240" w:lineRule="auto"/>
        <w:ind w:left="502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4D68">
        <w:rPr>
          <w:rFonts w:ascii="Times New Roman" w:hAnsi="Times New Roman" w:cs="Times New Roman"/>
          <w:sz w:val="24"/>
          <w:szCs w:val="24"/>
        </w:rPr>
        <w:t>316.</w:t>
      </w:r>
      <w:r w:rsidR="00CA4680">
        <w:rPr>
          <w:rFonts w:ascii="Times New Roman" w:hAnsi="Times New Roman" w:cs="Times New Roman"/>
          <w:sz w:val="24"/>
          <w:szCs w:val="24"/>
        </w:rPr>
        <w:t>4</w:t>
      </w:r>
      <w:r w:rsidR="0041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5B9">
        <w:rPr>
          <w:rFonts w:ascii="Times New Roman" w:hAnsi="Times New Roman" w:cs="Times New Roman"/>
          <w:sz w:val="24"/>
          <w:szCs w:val="24"/>
        </w:rPr>
        <w:t>b</w:t>
      </w:r>
      <w:r w:rsidR="005C0858">
        <w:rPr>
          <w:rFonts w:ascii="Times New Roman" w:hAnsi="Times New Roman" w:cs="Times New Roman"/>
          <w:sz w:val="24"/>
          <w:szCs w:val="24"/>
        </w:rPr>
        <w:t>illion</w:t>
      </w:r>
      <w:proofErr w:type="spellEnd"/>
      <w:r w:rsidR="005C0858">
        <w:rPr>
          <w:rFonts w:ascii="Times New Roman" w:hAnsi="Times New Roman" w:cs="Times New Roman"/>
          <w:sz w:val="24"/>
          <w:szCs w:val="24"/>
        </w:rPr>
        <w:t xml:space="preserve"> USD </w:t>
      </w:r>
      <w:proofErr w:type="spellStart"/>
      <w:r w:rsidR="005C0858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="005C0858">
        <w:rPr>
          <w:rFonts w:ascii="Times New Roman" w:hAnsi="Times New Roman" w:cs="Times New Roman"/>
          <w:sz w:val="24"/>
          <w:szCs w:val="24"/>
        </w:rPr>
        <w:t xml:space="preserve"> (2017) </w:t>
      </w:r>
      <w:r w:rsidR="005C085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9A7A34F" w14:textId="77777777" w:rsidR="005C0858" w:rsidRPr="004402A2" w:rsidRDefault="005C0858" w:rsidP="005C08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FEA07A" w14:textId="691D6665" w:rsidR="00944334" w:rsidRPr="00033F3C" w:rsidRDefault="005C0858" w:rsidP="00944334">
      <w:pPr>
        <w:pStyle w:val="ListParagraph"/>
        <w:numPr>
          <w:ilvl w:val="0"/>
          <w:numId w:val="1"/>
        </w:numPr>
        <w:spacing w:after="0" w:line="240" w:lineRule="auto"/>
        <w:ind w:left="708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External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Debt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4334">
        <w:rPr>
          <w:rFonts w:ascii="Times New Roman" w:hAnsi="Times New Roman" w:cs="Times New Roman"/>
          <w:sz w:val="24"/>
          <w:szCs w:val="24"/>
        </w:rPr>
        <w:t xml:space="preserve">140,8 </w:t>
      </w:r>
      <w:proofErr w:type="spellStart"/>
      <w:r w:rsidR="00944334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="00944334">
        <w:rPr>
          <w:rFonts w:ascii="Times New Roman" w:hAnsi="Times New Roman" w:cs="Times New Roman"/>
          <w:sz w:val="24"/>
          <w:szCs w:val="24"/>
        </w:rPr>
        <w:t xml:space="preserve"> USD </w:t>
      </w:r>
      <w:proofErr w:type="spellStart"/>
      <w:r w:rsidR="00944334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="00944334">
        <w:rPr>
          <w:rFonts w:ascii="Times New Roman" w:hAnsi="Times New Roman" w:cs="Times New Roman"/>
          <w:sz w:val="24"/>
          <w:szCs w:val="24"/>
        </w:rPr>
        <w:t xml:space="preserve"> (2018, </w:t>
      </w:r>
      <w:proofErr w:type="spellStart"/>
      <w:r w:rsidR="00944334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94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334">
        <w:rPr>
          <w:rFonts w:ascii="Times New Roman" w:hAnsi="Times New Roman" w:cs="Times New Roman"/>
          <w:sz w:val="24"/>
          <w:szCs w:val="24"/>
        </w:rPr>
        <w:t>quarter</w:t>
      </w:r>
      <w:proofErr w:type="spellEnd"/>
      <w:r w:rsidR="00944334">
        <w:rPr>
          <w:rFonts w:ascii="Times New Roman" w:hAnsi="Times New Roman" w:cs="Times New Roman"/>
          <w:sz w:val="24"/>
          <w:szCs w:val="24"/>
        </w:rPr>
        <w:t xml:space="preserve">)  </w:t>
      </w:r>
      <w:r w:rsidR="00033F3C">
        <w:rPr>
          <w:rFonts w:ascii="Times New Roman" w:hAnsi="Times New Roman" w:cs="Times New Roman"/>
          <w:sz w:val="24"/>
          <w:szCs w:val="24"/>
        </w:rPr>
        <w:t>(</w:t>
      </w:r>
      <w:r w:rsidR="00944334" w:rsidRPr="00033F3C">
        <w:rPr>
          <w:rFonts w:ascii="Times New Roman" w:hAnsi="Times New Roman" w:cs="Times New Roman"/>
          <w:sz w:val="24"/>
          <w:szCs w:val="24"/>
          <w:lang w:val="en-US"/>
        </w:rPr>
        <w:t>Updated as of 16 July 2018.)</w:t>
      </w:r>
    </w:p>
    <w:p w14:paraId="40263138" w14:textId="11EAAC76" w:rsidR="00F9757A" w:rsidRPr="00944334" w:rsidRDefault="00944334" w:rsidP="00944334">
      <w:pPr>
        <w:pStyle w:val="ListParagraph"/>
        <w:spacing w:after="0" w:line="240" w:lineRule="auto"/>
        <w:ind w:left="502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4D68" w:rsidRPr="00944334">
        <w:rPr>
          <w:rFonts w:ascii="Times New Roman" w:hAnsi="Times New Roman" w:cs="Times New Roman"/>
          <w:sz w:val="24"/>
          <w:szCs w:val="24"/>
        </w:rPr>
        <w:t>136.2</w:t>
      </w:r>
      <w:r w:rsidR="005C0858" w:rsidRPr="0094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CC2" w:rsidRPr="00944334">
        <w:rPr>
          <w:rFonts w:ascii="Times New Roman" w:hAnsi="Times New Roman" w:cs="Times New Roman"/>
          <w:sz w:val="24"/>
          <w:szCs w:val="24"/>
        </w:rPr>
        <w:t>b</w:t>
      </w:r>
      <w:r w:rsidR="00414D68" w:rsidRPr="00944334">
        <w:rPr>
          <w:rFonts w:ascii="Times New Roman" w:hAnsi="Times New Roman" w:cs="Times New Roman"/>
          <w:sz w:val="24"/>
          <w:szCs w:val="24"/>
        </w:rPr>
        <w:t>illion</w:t>
      </w:r>
      <w:proofErr w:type="spellEnd"/>
      <w:r w:rsidR="00414D68" w:rsidRPr="00944334">
        <w:rPr>
          <w:rFonts w:ascii="Times New Roman" w:hAnsi="Times New Roman" w:cs="Times New Roman"/>
          <w:sz w:val="24"/>
          <w:szCs w:val="24"/>
        </w:rPr>
        <w:t xml:space="preserve"> USD </w:t>
      </w:r>
      <w:proofErr w:type="spellStart"/>
      <w:r w:rsidR="00414D68" w:rsidRPr="00944334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="00414D68" w:rsidRPr="00944334">
        <w:rPr>
          <w:rFonts w:ascii="Times New Roman" w:hAnsi="Times New Roman" w:cs="Times New Roman"/>
          <w:sz w:val="24"/>
          <w:szCs w:val="24"/>
        </w:rPr>
        <w:t xml:space="preserve"> (2017</w:t>
      </w:r>
      <w:r w:rsidR="005C0858" w:rsidRPr="00944334">
        <w:rPr>
          <w:rFonts w:ascii="Times New Roman" w:hAnsi="Times New Roman" w:cs="Times New Roman"/>
          <w:sz w:val="24"/>
          <w:szCs w:val="24"/>
        </w:rPr>
        <w:t>)</w:t>
      </w:r>
      <w:r w:rsidR="005C0858" w:rsidRPr="0094433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AE77215" w14:textId="029D337D" w:rsidR="00F9757A" w:rsidRPr="00F9757A" w:rsidRDefault="00F9757A" w:rsidP="00F97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73479" w14:textId="27EE28BA" w:rsidR="00944334" w:rsidRDefault="0092730A" w:rsidP="00F9757A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External</w:t>
      </w:r>
      <w:r w:rsidR="00F9757A" w:rsidRPr="009C2E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Debt Stock</w:t>
      </w:r>
      <w:r w:rsidR="00AC36E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44334">
        <w:rPr>
          <w:rFonts w:ascii="Times New Roman" w:hAnsi="Times New Roman" w:cs="Times New Roman"/>
          <w:sz w:val="24"/>
          <w:szCs w:val="24"/>
        </w:rPr>
        <w:t xml:space="preserve">466.6 </w:t>
      </w:r>
      <w:proofErr w:type="spellStart"/>
      <w:r w:rsidR="00944334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="00944334">
        <w:rPr>
          <w:rFonts w:ascii="Times New Roman" w:hAnsi="Times New Roman" w:cs="Times New Roman"/>
          <w:sz w:val="24"/>
          <w:szCs w:val="24"/>
        </w:rPr>
        <w:t xml:space="preserve"> USD </w:t>
      </w:r>
      <w:proofErr w:type="spellStart"/>
      <w:r w:rsidR="00944334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="00944334">
        <w:rPr>
          <w:rFonts w:ascii="Times New Roman" w:hAnsi="Times New Roman" w:cs="Times New Roman"/>
          <w:sz w:val="24"/>
          <w:szCs w:val="24"/>
        </w:rPr>
        <w:t xml:space="preserve"> (2018, </w:t>
      </w:r>
      <w:proofErr w:type="spellStart"/>
      <w:r w:rsidR="00944334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94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334">
        <w:rPr>
          <w:rFonts w:ascii="Times New Roman" w:hAnsi="Times New Roman" w:cs="Times New Roman"/>
          <w:sz w:val="24"/>
          <w:szCs w:val="24"/>
        </w:rPr>
        <w:t>quarter</w:t>
      </w:r>
      <w:proofErr w:type="spellEnd"/>
      <w:proofErr w:type="gramStart"/>
      <w:r w:rsidR="00944334">
        <w:rPr>
          <w:rFonts w:ascii="Times New Roman" w:hAnsi="Times New Roman" w:cs="Times New Roman"/>
          <w:sz w:val="24"/>
          <w:szCs w:val="24"/>
        </w:rPr>
        <w:t xml:space="preserve">)  </w:t>
      </w:r>
      <w:r w:rsidR="00033F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44334" w:rsidRPr="00033F3C">
        <w:rPr>
          <w:rFonts w:ascii="Times New Roman" w:hAnsi="Times New Roman" w:cs="Times New Roman"/>
          <w:sz w:val="24"/>
          <w:szCs w:val="24"/>
          <w:lang w:val="en-US"/>
        </w:rPr>
        <w:t>Updated as of 16 July 2018.)</w:t>
      </w:r>
    </w:p>
    <w:p w14:paraId="260401CC" w14:textId="3FED4AD6" w:rsidR="00F9757A" w:rsidRPr="00F9757A" w:rsidRDefault="00944334" w:rsidP="00944334">
      <w:pPr>
        <w:pStyle w:val="ListParagraph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AC36E2">
        <w:rPr>
          <w:rFonts w:ascii="Times New Roman" w:hAnsi="Times New Roman" w:cs="Times New Roman"/>
          <w:sz w:val="24"/>
          <w:szCs w:val="24"/>
          <w:lang w:val="en-US"/>
        </w:rPr>
        <w:t>453.2</w:t>
      </w:r>
      <w:r w:rsidR="00F9757A">
        <w:rPr>
          <w:rFonts w:ascii="Times New Roman" w:hAnsi="Times New Roman" w:cs="Times New Roman"/>
          <w:sz w:val="24"/>
          <w:szCs w:val="24"/>
          <w:lang w:val="en-US"/>
        </w:rPr>
        <w:t xml:space="preserve"> billion USD (2017)</w:t>
      </w:r>
      <w:r w:rsidR="00F975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   </w:t>
      </w:r>
    </w:p>
    <w:p w14:paraId="48795073" w14:textId="031A008F" w:rsidR="00DD4B0A" w:rsidRDefault="00DD4B0A" w:rsidP="0074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18C87A" w14:textId="3D46B96E" w:rsidR="00D27EAE" w:rsidRPr="008D7B42" w:rsidRDefault="002E6448" w:rsidP="00D27E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E6448">
        <w:rPr>
          <w:rFonts w:ascii="Times New Roman" w:hAnsi="Times New Roman" w:cs="Times New Roman"/>
          <w:b/>
          <w:sz w:val="24"/>
          <w:szCs w:val="24"/>
        </w:rPr>
        <w:t>Industrial</w:t>
      </w:r>
      <w:proofErr w:type="spellEnd"/>
      <w:r w:rsidRPr="002E6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6448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Pr="002E6448">
        <w:rPr>
          <w:rFonts w:ascii="Times New Roman" w:hAnsi="Times New Roman" w:cs="Times New Roman"/>
          <w:b/>
          <w:sz w:val="24"/>
          <w:szCs w:val="24"/>
        </w:rPr>
        <w:t xml:space="preserve"> Index</w:t>
      </w:r>
      <w:r w:rsidRPr="002E6448">
        <w:rPr>
          <w:rFonts w:ascii="Times New Roman" w:hAnsi="Times New Roman" w:cs="Times New Roman"/>
          <w:sz w:val="24"/>
          <w:szCs w:val="24"/>
        </w:rPr>
        <w:t xml:space="preserve">: </w:t>
      </w:r>
      <w:r w:rsidR="00AC36E2" w:rsidRPr="008D7B42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3455FA" w:rsidRPr="008D7B42">
        <w:rPr>
          <w:rFonts w:ascii="Times New Roman" w:hAnsi="Times New Roman" w:cs="Times New Roman"/>
          <w:b/>
          <w:sz w:val="24"/>
          <w:szCs w:val="24"/>
        </w:rPr>
        <w:t>6</w:t>
      </w:r>
      <w:r w:rsidR="008D7B42" w:rsidRPr="008D7B42">
        <w:rPr>
          <w:rFonts w:ascii="Times New Roman" w:hAnsi="Times New Roman" w:cs="Times New Roman"/>
          <w:b/>
          <w:sz w:val="24"/>
          <w:szCs w:val="24"/>
        </w:rPr>
        <w:t xml:space="preserve">,2 </w:t>
      </w:r>
      <w:r w:rsidRPr="008D7B42">
        <w:rPr>
          <w:rFonts w:ascii="Times New Roman" w:hAnsi="Times New Roman" w:cs="Times New Roman"/>
          <w:b/>
          <w:sz w:val="24"/>
          <w:szCs w:val="24"/>
        </w:rPr>
        <w:t xml:space="preserve"> % (201</w:t>
      </w:r>
      <w:r w:rsidR="00A84B0D" w:rsidRPr="008D7B42">
        <w:rPr>
          <w:rFonts w:ascii="Times New Roman" w:hAnsi="Times New Roman" w:cs="Times New Roman"/>
          <w:b/>
          <w:sz w:val="24"/>
          <w:szCs w:val="24"/>
        </w:rPr>
        <w:t>8</w:t>
      </w:r>
      <w:r w:rsidRPr="008D7B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7B42" w:rsidRPr="008D7B42">
        <w:rPr>
          <w:rFonts w:ascii="Times New Roman" w:hAnsi="Times New Roman" w:cs="Times New Roman"/>
          <w:b/>
          <w:sz w:val="24"/>
          <w:szCs w:val="24"/>
        </w:rPr>
        <w:t>April</w:t>
      </w:r>
      <w:r w:rsidRPr="008D7B42">
        <w:rPr>
          <w:rFonts w:ascii="Times New Roman" w:hAnsi="Times New Roman" w:cs="Times New Roman"/>
          <w:b/>
          <w:sz w:val="24"/>
          <w:szCs w:val="24"/>
        </w:rPr>
        <w:t>)</w:t>
      </w:r>
      <w:r w:rsidRPr="008D7B4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7A7D7B79" w14:textId="19AD2C77" w:rsidR="002E6448" w:rsidRDefault="002E6448" w:rsidP="0074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8F92CB" w14:textId="19438A66" w:rsidR="008D7B42" w:rsidRPr="006A67B4" w:rsidRDefault="008D7B42" w:rsidP="0074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67B4">
        <w:rPr>
          <w:rFonts w:ascii="Times New Roman" w:hAnsi="Times New Roman" w:cs="Times New Roman"/>
          <w:sz w:val="24"/>
          <w:szCs w:val="24"/>
          <w:lang w:val="en-US"/>
        </w:rPr>
        <w:t xml:space="preserve">           (Updated as of 14 June 2018) </w:t>
      </w:r>
    </w:p>
    <w:p w14:paraId="4F211996" w14:textId="77777777" w:rsidR="008D7B42" w:rsidRPr="001C338B" w:rsidRDefault="008D7B42" w:rsidP="0074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D1B460" w14:textId="581F99D6" w:rsidR="007429AA" w:rsidRPr="00464E87" w:rsidRDefault="007429AA" w:rsidP="007429AA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7B63">
        <w:rPr>
          <w:rFonts w:ascii="Times New Roman" w:hAnsi="Times New Roman"/>
          <w:sz w:val="24"/>
          <w:szCs w:val="24"/>
          <w:lang w:val="en-US"/>
        </w:rPr>
        <w:t xml:space="preserve">Agreements for the </w:t>
      </w:r>
      <w:r w:rsidRPr="00472CCE">
        <w:rPr>
          <w:rFonts w:ascii="Times New Roman" w:hAnsi="Times New Roman"/>
          <w:b/>
          <w:sz w:val="24"/>
          <w:szCs w:val="24"/>
          <w:lang w:val="en-US"/>
        </w:rPr>
        <w:t>Avoidance of Double Taxation and the Prevention of Fiscal Evasion</w:t>
      </w:r>
      <w:r w:rsidRPr="00E870BE">
        <w:rPr>
          <w:rFonts w:ascii="Times New Roman" w:hAnsi="Times New Roman"/>
          <w:sz w:val="24"/>
          <w:szCs w:val="24"/>
          <w:lang w:val="en-US"/>
        </w:rPr>
        <w:t xml:space="preserve"> with respect to Taxes on Income with </w:t>
      </w:r>
      <w:r>
        <w:rPr>
          <w:rFonts w:ascii="Times New Roman" w:hAnsi="Times New Roman"/>
          <w:sz w:val="24"/>
          <w:szCs w:val="24"/>
          <w:lang w:val="en-US"/>
        </w:rPr>
        <w:t>8</w:t>
      </w:r>
      <w:r w:rsidR="000E1FEC">
        <w:rPr>
          <w:rFonts w:ascii="Times New Roman" w:hAnsi="Times New Roman"/>
          <w:sz w:val="24"/>
          <w:szCs w:val="24"/>
          <w:lang w:val="en-US"/>
        </w:rPr>
        <w:t>2</w:t>
      </w:r>
      <w:r w:rsidRPr="00E870BE">
        <w:rPr>
          <w:rFonts w:ascii="Times New Roman" w:hAnsi="Times New Roman"/>
          <w:sz w:val="24"/>
          <w:szCs w:val="24"/>
          <w:lang w:val="en-US"/>
        </w:rPr>
        <w:t xml:space="preserve"> countries.</w:t>
      </w:r>
    </w:p>
    <w:p w14:paraId="260187B1" w14:textId="77777777" w:rsidR="007429AA" w:rsidRPr="00464E87" w:rsidRDefault="007429AA" w:rsidP="007429A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3BF4959" w14:textId="185FD590" w:rsidR="007429AA" w:rsidRDefault="007429AA" w:rsidP="007429AA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E87">
        <w:rPr>
          <w:rFonts w:ascii="Times New Roman" w:hAnsi="Times New Roman" w:cs="Times New Roman"/>
          <w:sz w:val="24"/>
          <w:szCs w:val="24"/>
          <w:lang w:val="en-US"/>
        </w:rPr>
        <w:t xml:space="preserve">Agreements for </w:t>
      </w:r>
      <w:r w:rsidRPr="00472CCE">
        <w:rPr>
          <w:rFonts w:ascii="Times New Roman" w:hAnsi="Times New Roman" w:cs="Times New Roman"/>
          <w:b/>
          <w:sz w:val="24"/>
          <w:szCs w:val="24"/>
          <w:lang w:val="en-US"/>
        </w:rPr>
        <w:t>Reciprocal Promotion and Protection of Investments</w:t>
      </w:r>
      <w:r w:rsidRPr="00464E87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117197">
        <w:rPr>
          <w:rFonts w:ascii="Times New Roman" w:hAnsi="Times New Roman" w:cs="Times New Roman"/>
          <w:sz w:val="24"/>
          <w:szCs w:val="24"/>
          <w:lang w:val="en-US"/>
        </w:rPr>
        <w:t>76</w:t>
      </w:r>
      <w:r w:rsidRPr="00464E87">
        <w:rPr>
          <w:rFonts w:ascii="Times New Roman" w:hAnsi="Times New Roman" w:cs="Times New Roman"/>
          <w:sz w:val="24"/>
          <w:szCs w:val="24"/>
          <w:lang w:val="en-US"/>
        </w:rPr>
        <w:t xml:space="preserve"> countries </w:t>
      </w:r>
    </w:p>
    <w:p w14:paraId="7C6DB013" w14:textId="77777777" w:rsidR="007429AA" w:rsidRPr="00464E87" w:rsidRDefault="007429AA" w:rsidP="007429AA">
      <w:pPr>
        <w:pStyle w:val="ListParagrap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708B374" w14:textId="646D8B47" w:rsidR="007429AA" w:rsidRDefault="007429AA" w:rsidP="007429AA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CCE">
        <w:rPr>
          <w:rFonts w:ascii="Times New Roman" w:hAnsi="Times New Roman" w:cs="Times New Roman"/>
          <w:b/>
          <w:sz w:val="24"/>
          <w:szCs w:val="24"/>
          <w:lang w:val="en-US"/>
        </w:rPr>
        <w:t>Free Trade Agreements in force</w:t>
      </w:r>
      <w:r w:rsidR="0089664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C36E2">
        <w:rPr>
          <w:rFonts w:ascii="Times New Roman" w:hAnsi="Times New Roman" w:cs="Times New Roman"/>
          <w:sz w:val="24"/>
          <w:szCs w:val="24"/>
          <w:lang w:val="en-US"/>
        </w:rPr>
        <w:t>with 2</w:t>
      </w:r>
      <w:r w:rsidR="005E3D1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06211D">
        <w:rPr>
          <w:rFonts w:ascii="Times New Roman" w:hAnsi="Times New Roman" w:cs="Times New Roman"/>
          <w:sz w:val="24"/>
          <w:szCs w:val="24"/>
          <w:lang w:val="en-US"/>
        </w:rPr>
        <w:t xml:space="preserve"> countries (</w:t>
      </w:r>
      <w:r w:rsidR="005E3D16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464E87">
        <w:rPr>
          <w:rFonts w:ascii="Times New Roman" w:hAnsi="Times New Roman" w:cs="Times New Roman"/>
          <w:sz w:val="24"/>
          <w:szCs w:val="24"/>
          <w:lang w:val="en-US"/>
        </w:rPr>
        <w:t xml:space="preserve"> countries and EFTA</w:t>
      </w:r>
      <w:r w:rsidR="0006211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C36E2">
        <w:rPr>
          <w:rFonts w:ascii="Times New Roman" w:hAnsi="Times New Roman" w:cs="Times New Roman"/>
          <w:sz w:val="24"/>
          <w:szCs w:val="24"/>
          <w:lang w:val="en-US"/>
        </w:rPr>
        <w:t>³</w:t>
      </w:r>
    </w:p>
    <w:p w14:paraId="43D92801" w14:textId="2BCFB448" w:rsidR="007429AA" w:rsidRDefault="007429AA" w:rsidP="007429AA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86CABB" w14:textId="77777777" w:rsidR="00B468E6" w:rsidRPr="00B468E6" w:rsidRDefault="007429AA" w:rsidP="007429AA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1313">
        <w:rPr>
          <w:rFonts w:ascii="Times New Roman" w:hAnsi="Times New Roman" w:cs="Times New Roman"/>
          <w:b/>
          <w:sz w:val="24"/>
          <w:szCs w:val="24"/>
          <w:lang w:val="en-US"/>
        </w:rPr>
        <w:t>Tourism</w:t>
      </w:r>
      <w:r w:rsidR="00B468E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7CE09769" w14:textId="3F5CFB89" w:rsidR="007429AA" w:rsidRPr="008607C9" w:rsidRDefault="007429AA" w:rsidP="00B468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7C9">
        <w:rPr>
          <w:rFonts w:ascii="Times New Roman" w:hAnsi="Times New Roman" w:cs="Times New Roman"/>
          <w:sz w:val="24"/>
          <w:szCs w:val="24"/>
          <w:lang w:val="en-US"/>
        </w:rPr>
        <w:t xml:space="preserve">41.6 million </w:t>
      </w:r>
      <w:proofErr w:type="gramStart"/>
      <w:r w:rsidRPr="008607C9">
        <w:rPr>
          <w:rFonts w:ascii="Times New Roman" w:hAnsi="Times New Roman" w:cs="Times New Roman"/>
          <w:sz w:val="24"/>
          <w:szCs w:val="24"/>
          <w:lang w:val="en-US"/>
        </w:rPr>
        <w:t>visitors</w:t>
      </w:r>
      <w:proofErr w:type="gramEnd"/>
      <w:r w:rsidRPr="008607C9">
        <w:rPr>
          <w:rFonts w:ascii="Times New Roman" w:hAnsi="Times New Roman" w:cs="Times New Roman"/>
          <w:sz w:val="24"/>
          <w:szCs w:val="24"/>
          <w:lang w:val="en-US"/>
        </w:rPr>
        <w:t>; 31.</w:t>
      </w:r>
      <w:r w:rsidR="00802CA7" w:rsidRPr="008607C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607C9">
        <w:rPr>
          <w:rFonts w:ascii="Times New Roman" w:hAnsi="Times New Roman" w:cs="Times New Roman"/>
          <w:sz w:val="24"/>
          <w:szCs w:val="24"/>
          <w:lang w:val="en-US"/>
        </w:rPr>
        <w:t xml:space="preserve"> billion USD revenue</w:t>
      </w:r>
      <w:r w:rsidR="00B468E6" w:rsidRPr="008607C9">
        <w:rPr>
          <w:rFonts w:ascii="Times New Roman" w:hAnsi="Times New Roman" w:cs="Times New Roman"/>
          <w:sz w:val="24"/>
          <w:szCs w:val="24"/>
          <w:lang w:val="en-US"/>
        </w:rPr>
        <w:t xml:space="preserve">  (2015) </w:t>
      </w:r>
      <w:r w:rsidR="007441B1" w:rsidRPr="008607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4F1D8A4F" w14:textId="0E76B03D" w:rsidR="007429AA" w:rsidRPr="008607C9" w:rsidRDefault="005E2644" w:rsidP="00EF1313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3760F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429AA" w:rsidRPr="008607C9">
        <w:rPr>
          <w:rFonts w:ascii="Times New Roman" w:hAnsi="Times New Roman" w:cs="Times New Roman"/>
          <w:sz w:val="24"/>
          <w:szCs w:val="24"/>
          <w:lang w:val="en-US"/>
        </w:rPr>
        <w:t xml:space="preserve"> million </w:t>
      </w:r>
      <w:proofErr w:type="gramStart"/>
      <w:r w:rsidR="007429AA" w:rsidRPr="008607C9">
        <w:rPr>
          <w:rFonts w:ascii="Times New Roman" w:hAnsi="Times New Roman" w:cs="Times New Roman"/>
          <w:sz w:val="24"/>
          <w:szCs w:val="24"/>
          <w:lang w:val="en-US"/>
        </w:rPr>
        <w:t>visitors</w:t>
      </w:r>
      <w:proofErr w:type="gramEnd"/>
      <w:r w:rsidR="007429AA" w:rsidRPr="008607C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95611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3760F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9561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02CA7" w:rsidRPr="00860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68E6" w:rsidRPr="008607C9">
        <w:rPr>
          <w:rFonts w:ascii="Times New Roman" w:hAnsi="Times New Roman" w:cs="Times New Roman"/>
          <w:sz w:val="24"/>
          <w:szCs w:val="24"/>
          <w:lang w:val="en-US"/>
        </w:rPr>
        <w:t xml:space="preserve">billion USD revenue (2016) </w:t>
      </w:r>
      <w:r w:rsidR="00997BAA" w:rsidRPr="008607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47D03B99" w14:textId="14A8DAF6" w:rsidR="007D6572" w:rsidRDefault="009618C7" w:rsidP="007D6572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C5B4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515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5B4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607C9" w:rsidRPr="008607C9">
        <w:rPr>
          <w:rFonts w:ascii="Times New Roman" w:hAnsi="Times New Roman" w:cs="Times New Roman"/>
          <w:sz w:val="24"/>
          <w:szCs w:val="24"/>
          <w:lang w:val="en-US"/>
        </w:rPr>
        <w:t xml:space="preserve"> million </w:t>
      </w:r>
      <w:proofErr w:type="gramStart"/>
      <w:r w:rsidR="008607C9" w:rsidRPr="008607C9">
        <w:rPr>
          <w:rFonts w:ascii="Times New Roman" w:hAnsi="Times New Roman" w:cs="Times New Roman"/>
          <w:sz w:val="24"/>
          <w:szCs w:val="24"/>
          <w:lang w:val="en-US"/>
        </w:rPr>
        <w:t>visitors</w:t>
      </w:r>
      <w:proofErr w:type="gramEnd"/>
      <w:r w:rsidR="000D16D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8D57B0">
        <w:rPr>
          <w:rFonts w:ascii="Times New Roman" w:hAnsi="Times New Roman" w:cs="Times New Roman"/>
          <w:sz w:val="24"/>
          <w:szCs w:val="24"/>
          <w:lang w:val="en-US"/>
        </w:rPr>
        <w:t xml:space="preserve">.2 </w:t>
      </w:r>
      <w:r w:rsidR="000D16DF" w:rsidRPr="008607C9">
        <w:rPr>
          <w:rFonts w:ascii="Times New Roman" w:hAnsi="Times New Roman" w:cs="Times New Roman"/>
          <w:sz w:val="24"/>
          <w:szCs w:val="24"/>
          <w:lang w:val="en-US"/>
        </w:rPr>
        <w:t>billion USD revenue</w:t>
      </w:r>
      <w:r w:rsidR="008607C9" w:rsidRPr="008607C9">
        <w:rPr>
          <w:rFonts w:ascii="Times New Roman" w:hAnsi="Times New Roman" w:cs="Times New Roman"/>
          <w:sz w:val="24"/>
          <w:szCs w:val="24"/>
          <w:lang w:val="en-US"/>
        </w:rPr>
        <w:t xml:space="preserve"> (2017)</w:t>
      </w:r>
      <w:r w:rsidR="007D6572" w:rsidRPr="007D65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7D6572" w:rsidRPr="008607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4ADECDCD" w14:textId="6A3270A3" w:rsidR="007C3141" w:rsidRPr="008607C9" w:rsidRDefault="007C3141" w:rsidP="007C31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6,12</w:t>
      </w:r>
      <w:r w:rsidR="00594580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million visitors; 4,42</w:t>
      </w:r>
      <w:r w:rsidR="00594580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billion USD revenue (2018, first quarter)</w:t>
      </w:r>
      <w:r w:rsidRPr="007C314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8607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29D9A6E2" w14:textId="2E511421" w:rsidR="000D617B" w:rsidRPr="007C3141" w:rsidRDefault="000D617B" w:rsidP="000D6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AF0AE6" w14:textId="3D798CDA" w:rsidR="000D617B" w:rsidRPr="000D617B" w:rsidRDefault="000D617B" w:rsidP="000D6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sectPr w:rsidR="000D617B" w:rsidRPr="000D61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E5B84" w14:textId="77777777" w:rsidR="004150E4" w:rsidRDefault="004150E4" w:rsidP="007429AA">
      <w:pPr>
        <w:spacing w:after="0" w:line="240" w:lineRule="auto"/>
      </w:pPr>
      <w:r>
        <w:separator/>
      </w:r>
    </w:p>
  </w:endnote>
  <w:endnote w:type="continuationSeparator" w:id="0">
    <w:p w14:paraId="18A19C68" w14:textId="77777777" w:rsidR="004150E4" w:rsidRDefault="004150E4" w:rsidP="0074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D0DC1" w14:textId="77777777" w:rsidR="00997BAA" w:rsidRPr="001F5E45" w:rsidRDefault="00997BAA" w:rsidP="00997BAA">
    <w:pPr>
      <w:pStyle w:val="Footer"/>
      <w:rPr>
        <w:sz w:val="16"/>
      </w:rPr>
    </w:pPr>
    <w:r w:rsidRPr="001F5E45">
      <w:rPr>
        <w:sz w:val="16"/>
      </w:rPr>
      <w:t xml:space="preserve">1. Turkish Statistical </w:t>
    </w:r>
    <w:proofErr w:type="spellStart"/>
    <w:r w:rsidRPr="001F5E45">
      <w:rPr>
        <w:sz w:val="16"/>
      </w:rPr>
      <w:t>Institute</w:t>
    </w:r>
    <w:proofErr w:type="spellEnd"/>
  </w:p>
  <w:p w14:paraId="58A5779C" w14:textId="77777777" w:rsidR="00997BAA" w:rsidRPr="001F5E45" w:rsidRDefault="00997BAA" w:rsidP="00997BAA">
    <w:pPr>
      <w:pStyle w:val="Footer"/>
      <w:rPr>
        <w:sz w:val="16"/>
      </w:rPr>
    </w:pPr>
    <w:r w:rsidRPr="001F5E45">
      <w:rPr>
        <w:sz w:val="16"/>
      </w:rPr>
      <w:t xml:space="preserve">2. </w:t>
    </w:r>
    <w:proofErr w:type="spellStart"/>
    <w:r w:rsidRPr="001F5E45">
      <w:rPr>
        <w:sz w:val="16"/>
      </w:rPr>
      <w:t>Undersecretariat</w:t>
    </w:r>
    <w:proofErr w:type="spellEnd"/>
    <w:r w:rsidRPr="001F5E45">
      <w:rPr>
        <w:sz w:val="16"/>
      </w:rPr>
      <w:t xml:space="preserve"> of </w:t>
    </w:r>
    <w:proofErr w:type="spellStart"/>
    <w:r w:rsidRPr="001F5E45">
      <w:rPr>
        <w:sz w:val="16"/>
      </w:rPr>
      <w:t>Treasury</w:t>
    </w:r>
    <w:proofErr w:type="spellEnd"/>
    <w:r w:rsidRPr="001F5E45">
      <w:rPr>
        <w:sz w:val="16"/>
      </w:rPr>
      <w:t xml:space="preserve"> of </w:t>
    </w:r>
    <w:proofErr w:type="spellStart"/>
    <w:r w:rsidRPr="001F5E45">
      <w:rPr>
        <w:sz w:val="16"/>
      </w:rPr>
      <w:t>Turkey</w:t>
    </w:r>
    <w:proofErr w:type="spellEnd"/>
    <w:r w:rsidRPr="001F5E45">
      <w:rPr>
        <w:sz w:val="16"/>
      </w:rPr>
      <w:t xml:space="preserve"> </w:t>
    </w:r>
  </w:p>
  <w:p w14:paraId="5EEA8BFD" w14:textId="77777777" w:rsidR="00997BAA" w:rsidRDefault="00997BAA" w:rsidP="00997BAA">
    <w:pPr>
      <w:pStyle w:val="Footer"/>
      <w:rPr>
        <w:sz w:val="16"/>
      </w:rPr>
    </w:pPr>
    <w:r w:rsidRPr="001F5E45">
      <w:rPr>
        <w:sz w:val="16"/>
      </w:rPr>
      <w:t>3.</w:t>
    </w:r>
    <w:r w:rsidR="001F5E45">
      <w:rPr>
        <w:sz w:val="16"/>
      </w:rPr>
      <w:t xml:space="preserve"> </w:t>
    </w:r>
    <w:proofErr w:type="spellStart"/>
    <w:r w:rsidR="004B6C5E">
      <w:rPr>
        <w:sz w:val="16"/>
      </w:rPr>
      <w:t>The</w:t>
    </w:r>
    <w:proofErr w:type="spellEnd"/>
    <w:r w:rsidR="004B6C5E">
      <w:rPr>
        <w:sz w:val="16"/>
      </w:rPr>
      <w:t xml:space="preserve"> </w:t>
    </w:r>
    <w:proofErr w:type="spellStart"/>
    <w:r w:rsidR="004B6C5E">
      <w:rPr>
        <w:sz w:val="16"/>
      </w:rPr>
      <w:t>Ministry</w:t>
    </w:r>
    <w:proofErr w:type="spellEnd"/>
    <w:r w:rsidR="004B6C5E">
      <w:rPr>
        <w:sz w:val="16"/>
      </w:rPr>
      <w:t xml:space="preserve"> of </w:t>
    </w:r>
    <w:proofErr w:type="spellStart"/>
    <w:r w:rsidR="004B6C5E">
      <w:rPr>
        <w:sz w:val="16"/>
      </w:rPr>
      <w:t>Economy</w:t>
    </w:r>
    <w:proofErr w:type="spellEnd"/>
    <w:r w:rsidR="001F5E45" w:rsidRPr="001F5E45">
      <w:rPr>
        <w:sz w:val="16"/>
      </w:rPr>
      <w:t xml:space="preserve"> of </w:t>
    </w:r>
    <w:proofErr w:type="spellStart"/>
    <w:r w:rsidR="001F5E45" w:rsidRPr="001F5E45">
      <w:rPr>
        <w:sz w:val="16"/>
      </w:rPr>
      <w:t>Turkey</w:t>
    </w:r>
    <w:proofErr w:type="spellEnd"/>
  </w:p>
  <w:p w14:paraId="67094D76" w14:textId="77777777" w:rsidR="001F5E45" w:rsidRPr="001F5E45" w:rsidRDefault="001F5E45" w:rsidP="00997BAA">
    <w:pPr>
      <w:pStyle w:val="Footer"/>
      <w:rPr>
        <w:sz w:val="16"/>
      </w:rPr>
    </w:pPr>
    <w:r>
      <w:rPr>
        <w:sz w:val="16"/>
      </w:rPr>
      <w:t xml:space="preserve">4. Turkish </w:t>
    </w:r>
    <w:proofErr w:type="spellStart"/>
    <w:r>
      <w:rPr>
        <w:sz w:val="16"/>
      </w:rPr>
      <w:t>Cooperation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and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Coordination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Agency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EFAAB" w14:textId="77777777" w:rsidR="004150E4" w:rsidRDefault="004150E4" w:rsidP="007429AA">
      <w:pPr>
        <w:spacing w:after="0" w:line="240" w:lineRule="auto"/>
      </w:pPr>
      <w:r>
        <w:separator/>
      </w:r>
    </w:p>
  </w:footnote>
  <w:footnote w:type="continuationSeparator" w:id="0">
    <w:p w14:paraId="7ECF0E47" w14:textId="77777777" w:rsidR="004150E4" w:rsidRDefault="004150E4" w:rsidP="0074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984"/>
    <w:multiLevelType w:val="hybridMultilevel"/>
    <w:tmpl w:val="0BF4FD92"/>
    <w:lvl w:ilvl="0" w:tplc="76CAA338">
      <w:start w:val="342"/>
      <w:numFmt w:val="bullet"/>
      <w:lvlText w:val="-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 w15:restartNumberingAfterBreak="0">
    <w:nsid w:val="0BA01EBF"/>
    <w:multiLevelType w:val="hybridMultilevel"/>
    <w:tmpl w:val="40E890A8"/>
    <w:lvl w:ilvl="0" w:tplc="041F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C45AE4"/>
    <w:multiLevelType w:val="multilevel"/>
    <w:tmpl w:val="458A2926"/>
    <w:lvl w:ilvl="0">
      <w:start w:val="7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773F1F"/>
    <w:multiLevelType w:val="multilevel"/>
    <w:tmpl w:val="88F826D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896" w:hanging="1800"/>
      </w:pPr>
      <w:rPr>
        <w:rFonts w:hint="default"/>
      </w:rPr>
    </w:lvl>
  </w:abstractNum>
  <w:abstractNum w:abstractNumId="4" w15:restartNumberingAfterBreak="0">
    <w:nsid w:val="2175360B"/>
    <w:multiLevelType w:val="hybridMultilevel"/>
    <w:tmpl w:val="FE360F34"/>
    <w:lvl w:ilvl="0" w:tplc="996087D8">
      <w:start w:val="2002"/>
      <w:numFmt w:val="decimal"/>
      <w:lvlText w:val="%1"/>
      <w:lvlJc w:val="left"/>
      <w:pPr>
        <w:ind w:left="2604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22461591"/>
    <w:multiLevelType w:val="hybridMultilevel"/>
    <w:tmpl w:val="979CD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92FB4"/>
    <w:multiLevelType w:val="hybridMultilevel"/>
    <w:tmpl w:val="7D8CC24E"/>
    <w:lvl w:ilvl="0" w:tplc="041F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BF169EC"/>
    <w:multiLevelType w:val="hybridMultilevel"/>
    <w:tmpl w:val="4F3052F6"/>
    <w:lvl w:ilvl="0" w:tplc="4C885A3E">
      <w:start w:val="2011"/>
      <w:numFmt w:val="decimal"/>
      <w:lvlText w:val="%1"/>
      <w:lvlJc w:val="left"/>
      <w:pPr>
        <w:ind w:left="2604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D27717A"/>
    <w:multiLevelType w:val="multilevel"/>
    <w:tmpl w:val="4CE0C448"/>
    <w:lvl w:ilvl="0">
      <w:start w:val="14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25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64" w:hanging="1800"/>
      </w:pPr>
      <w:rPr>
        <w:rFonts w:hint="default"/>
      </w:rPr>
    </w:lvl>
  </w:abstractNum>
  <w:abstractNum w:abstractNumId="9" w15:restartNumberingAfterBreak="0">
    <w:nsid w:val="3755773D"/>
    <w:multiLevelType w:val="hybridMultilevel"/>
    <w:tmpl w:val="59A44B82"/>
    <w:lvl w:ilvl="0" w:tplc="041F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3C1B0FB5"/>
    <w:multiLevelType w:val="hybridMultilevel"/>
    <w:tmpl w:val="AEA6C524"/>
    <w:lvl w:ilvl="0" w:tplc="041F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3E3A01B0"/>
    <w:multiLevelType w:val="multilevel"/>
    <w:tmpl w:val="DC5EAEB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5C7FA8"/>
    <w:multiLevelType w:val="hybridMultilevel"/>
    <w:tmpl w:val="620AA778"/>
    <w:lvl w:ilvl="0" w:tplc="041F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575E7484"/>
    <w:multiLevelType w:val="multilevel"/>
    <w:tmpl w:val="9B22D26C"/>
    <w:lvl w:ilvl="0">
      <w:start w:val="14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2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2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080"/>
      </w:pPr>
      <w:rPr>
        <w:rFonts w:hint="default"/>
      </w:rPr>
    </w:lvl>
  </w:abstractNum>
  <w:abstractNum w:abstractNumId="14" w15:restartNumberingAfterBreak="0">
    <w:nsid w:val="59293033"/>
    <w:multiLevelType w:val="hybridMultilevel"/>
    <w:tmpl w:val="AF062F88"/>
    <w:lvl w:ilvl="0" w:tplc="041F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5F4E0425"/>
    <w:multiLevelType w:val="hybridMultilevel"/>
    <w:tmpl w:val="59BCE862"/>
    <w:lvl w:ilvl="0" w:tplc="041F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686C45A3"/>
    <w:multiLevelType w:val="hybridMultilevel"/>
    <w:tmpl w:val="8AA2F126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A591375"/>
    <w:multiLevelType w:val="hybridMultilevel"/>
    <w:tmpl w:val="F2346030"/>
    <w:lvl w:ilvl="0" w:tplc="9F16A410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vertAlign w:val="baseline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6671B"/>
    <w:multiLevelType w:val="hybridMultilevel"/>
    <w:tmpl w:val="5CA456C2"/>
    <w:lvl w:ilvl="0" w:tplc="C0400822">
      <w:start w:val="3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D4B5C"/>
    <w:multiLevelType w:val="hybridMultilevel"/>
    <w:tmpl w:val="2B9A24D4"/>
    <w:lvl w:ilvl="0" w:tplc="041F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0"/>
  </w:num>
  <w:num w:numId="8">
    <w:abstractNumId w:val="18"/>
  </w:num>
  <w:num w:numId="9">
    <w:abstractNumId w:val="2"/>
  </w:num>
  <w:num w:numId="10">
    <w:abstractNumId w:val="12"/>
  </w:num>
  <w:num w:numId="11">
    <w:abstractNumId w:val="15"/>
  </w:num>
  <w:num w:numId="12">
    <w:abstractNumId w:val="16"/>
  </w:num>
  <w:num w:numId="13">
    <w:abstractNumId w:val="10"/>
  </w:num>
  <w:num w:numId="14">
    <w:abstractNumId w:val="6"/>
  </w:num>
  <w:num w:numId="15">
    <w:abstractNumId w:val="1"/>
  </w:num>
  <w:num w:numId="16">
    <w:abstractNumId w:val="14"/>
  </w:num>
  <w:num w:numId="17">
    <w:abstractNumId w:val="9"/>
  </w:num>
  <w:num w:numId="18">
    <w:abstractNumId w:val="13"/>
  </w:num>
  <w:num w:numId="19">
    <w:abstractNumId w:val="19"/>
  </w:num>
  <w:num w:numId="20">
    <w:abstractNumId w:val="17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D1"/>
    <w:rsid w:val="00002256"/>
    <w:rsid w:val="00002A83"/>
    <w:rsid w:val="00016F53"/>
    <w:rsid w:val="00023E1A"/>
    <w:rsid w:val="00030F98"/>
    <w:rsid w:val="00033F3C"/>
    <w:rsid w:val="00035D20"/>
    <w:rsid w:val="00037023"/>
    <w:rsid w:val="00041E76"/>
    <w:rsid w:val="00055A11"/>
    <w:rsid w:val="0006211D"/>
    <w:rsid w:val="00065EAA"/>
    <w:rsid w:val="00074CF6"/>
    <w:rsid w:val="00084162"/>
    <w:rsid w:val="00086182"/>
    <w:rsid w:val="00086288"/>
    <w:rsid w:val="000932B1"/>
    <w:rsid w:val="000935D5"/>
    <w:rsid w:val="000960B4"/>
    <w:rsid w:val="000A2CBC"/>
    <w:rsid w:val="000B1519"/>
    <w:rsid w:val="000B2126"/>
    <w:rsid w:val="000C1FDA"/>
    <w:rsid w:val="000C2E18"/>
    <w:rsid w:val="000C386B"/>
    <w:rsid w:val="000C4926"/>
    <w:rsid w:val="000D0BB3"/>
    <w:rsid w:val="000D16DF"/>
    <w:rsid w:val="000D54BE"/>
    <w:rsid w:val="000D617B"/>
    <w:rsid w:val="000D6207"/>
    <w:rsid w:val="000E1F1D"/>
    <w:rsid w:val="000E1FEC"/>
    <w:rsid w:val="000F692E"/>
    <w:rsid w:val="0010609A"/>
    <w:rsid w:val="0011608A"/>
    <w:rsid w:val="00117197"/>
    <w:rsid w:val="00127387"/>
    <w:rsid w:val="001319A7"/>
    <w:rsid w:val="00136923"/>
    <w:rsid w:val="00140917"/>
    <w:rsid w:val="00142658"/>
    <w:rsid w:val="00147457"/>
    <w:rsid w:val="00150641"/>
    <w:rsid w:val="00163B77"/>
    <w:rsid w:val="001710E1"/>
    <w:rsid w:val="00171ED7"/>
    <w:rsid w:val="00184BEA"/>
    <w:rsid w:val="00194AB1"/>
    <w:rsid w:val="001966C8"/>
    <w:rsid w:val="001B14C7"/>
    <w:rsid w:val="001B3449"/>
    <w:rsid w:val="001C3C70"/>
    <w:rsid w:val="001D0648"/>
    <w:rsid w:val="001E4913"/>
    <w:rsid w:val="001E6D6F"/>
    <w:rsid w:val="001F47A3"/>
    <w:rsid w:val="001F5E45"/>
    <w:rsid w:val="0020003D"/>
    <w:rsid w:val="002148E0"/>
    <w:rsid w:val="00231EB4"/>
    <w:rsid w:val="002365CE"/>
    <w:rsid w:val="00240B5C"/>
    <w:rsid w:val="00251216"/>
    <w:rsid w:val="00251D2D"/>
    <w:rsid w:val="00265F7F"/>
    <w:rsid w:val="002664E2"/>
    <w:rsid w:val="00266C76"/>
    <w:rsid w:val="002679BB"/>
    <w:rsid w:val="0028008D"/>
    <w:rsid w:val="00280AFF"/>
    <w:rsid w:val="002865EA"/>
    <w:rsid w:val="00286FA4"/>
    <w:rsid w:val="00293842"/>
    <w:rsid w:val="002A2409"/>
    <w:rsid w:val="002A2C2F"/>
    <w:rsid w:val="002A6DD1"/>
    <w:rsid w:val="002B0B40"/>
    <w:rsid w:val="002C038D"/>
    <w:rsid w:val="002C2CA1"/>
    <w:rsid w:val="002C3102"/>
    <w:rsid w:val="002C4258"/>
    <w:rsid w:val="002E6448"/>
    <w:rsid w:val="002F0225"/>
    <w:rsid w:val="002F0E1D"/>
    <w:rsid w:val="002F1C00"/>
    <w:rsid w:val="002F2511"/>
    <w:rsid w:val="002F7E3D"/>
    <w:rsid w:val="00301DFD"/>
    <w:rsid w:val="00302733"/>
    <w:rsid w:val="00306A8A"/>
    <w:rsid w:val="00311836"/>
    <w:rsid w:val="00317071"/>
    <w:rsid w:val="00321745"/>
    <w:rsid w:val="00327E03"/>
    <w:rsid w:val="00333C88"/>
    <w:rsid w:val="003455FA"/>
    <w:rsid w:val="00347389"/>
    <w:rsid w:val="003569C8"/>
    <w:rsid w:val="00360210"/>
    <w:rsid w:val="003629CF"/>
    <w:rsid w:val="00367D60"/>
    <w:rsid w:val="003721A2"/>
    <w:rsid w:val="00372A22"/>
    <w:rsid w:val="003760F6"/>
    <w:rsid w:val="00376EC5"/>
    <w:rsid w:val="00381C64"/>
    <w:rsid w:val="0038277C"/>
    <w:rsid w:val="003959ED"/>
    <w:rsid w:val="003B174F"/>
    <w:rsid w:val="003B1F1A"/>
    <w:rsid w:val="003C3452"/>
    <w:rsid w:val="003D46A1"/>
    <w:rsid w:val="003E3183"/>
    <w:rsid w:val="003E5B07"/>
    <w:rsid w:val="003E5C21"/>
    <w:rsid w:val="003F5C00"/>
    <w:rsid w:val="0040285C"/>
    <w:rsid w:val="00402942"/>
    <w:rsid w:val="004116B9"/>
    <w:rsid w:val="00414D68"/>
    <w:rsid w:val="004150E4"/>
    <w:rsid w:val="00420C45"/>
    <w:rsid w:val="00420CD0"/>
    <w:rsid w:val="00422385"/>
    <w:rsid w:val="004258A5"/>
    <w:rsid w:val="00430D10"/>
    <w:rsid w:val="00432156"/>
    <w:rsid w:val="00437D77"/>
    <w:rsid w:val="00441813"/>
    <w:rsid w:val="004426C9"/>
    <w:rsid w:val="00444DE7"/>
    <w:rsid w:val="0045402A"/>
    <w:rsid w:val="00455C00"/>
    <w:rsid w:val="004723B2"/>
    <w:rsid w:val="00472CCE"/>
    <w:rsid w:val="004755B7"/>
    <w:rsid w:val="004825F6"/>
    <w:rsid w:val="00483886"/>
    <w:rsid w:val="00491F4E"/>
    <w:rsid w:val="00495611"/>
    <w:rsid w:val="004960F1"/>
    <w:rsid w:val="004A1D3F"/>
    <w:rsid w:val="004B1661"/>
    <w:rsid w:val="004B401F"/>
    <w:rsid w:val="004B4401"/>
    <w:rsid w:val="004B4D67"/>
    <w:rsid w:val="004B58AB"/>
    <w:rsid w:val="004B6C5E"/>
    <w:rsid w:val="004C195C"/>
    <w:rsid w:val="004D23B0"/>
    <w:rsid w:val="004D6B9F"/>
    <w:rsid w:val="004F446C"/>
    <w:rsid w:val="00500588"/>
    <w:rsid w:val="00510458"/>
    <w:rsid w:val="00510F64"/>
    <w:rsid w:val="00513536"/>
    <w:rsid w:val="00517FDC"/>
    <w:rsid w:val="005206D5"/>
    <w:rsid w:val="005261BE"/>
    <w:rsid w:val="005301A1"/>
    <w:rsid w:val="00532DCF"/>
    <w:rsid w:val="005557E8"/>
    <w:rsid w:val="0056359B"/>
    <w:rsid w:val="00582D33"/>
    <w:rsid w:val="00594580"/>
    <w:rsid w:val="005A14F0"/>
    <w:rsid w:val="005B1C9B"/>
    <w:rsid w:val="005B3C31"/>
    <w:rsid w:val="005B486F"/>
    <w:rsid w:val="005C0858"/>
    <w:rsid w:val="005C52DB"/>
    <w:rsid w:val="005C5B44"/>
    <w:rsid w:val="005C625B"/>
    <w:rsid w:val="005C6D35"/>
    <w:rsid w:val="005C795C"/>
    <w:rsid w:val="005D511B"/>
    <w:rsid w:val="005E2644"/>
    <w:rsid w:val="005E3A0E"/>
    <w:rsid w:val="005E3D16"/>
    <w:rsid w:val="005E5F3A"/>
    <w:rsid w:val="005E6737"/>
    <w:rsid w:val="005F1F78"/>
    <w:rsid w:val="006030C7"/>
    <w:rsid w:val="00603838"/>
    <w:rsid w:val="006070AB"/>
    <w:rsid w:val="006215B9"/>
    <w:rsid w:val="00622700"/>
    <w:rsid w:val="006234D9"/>
    <w:rsid w:val="00624B77"/>
    <w:rsid w:val="0062590B"/>
    <w:rsid w:val="00636159"/>
    <w:rsid w:val="006408FA"/>
    <w:rsid w:val="00643016"/>
    <w:rsid w:val="0064540A"/>
    <w:rsid w:val="00646088"/>
    <w:rsid w:val="0065035A"/>
    <w:rsid w:val="00655AC7"/>
    <w:rsid w:val="00662CFB"/>
    <w:rsid w:val="0066675B"/>
    <w:rsid w:val="006715E7"/>
    <w:rsid w:val="00677408"/>
    <w:rsid w:val="006810C1"/>
    <w:rsid w:val="00683C4F"/>
    <w:rsid w:val="0068552E"/>
    <w:rsid w:val="0069749D"/>
    <w:rsid w:val="00697F0E"/>
    <w:rsid w:val="006A5AC5"/>
    <w:rsid w:val="006A6269"/>
    <w:rsid w:val="006A659D"/>
    <w:rsid w:val="006A67B4"/>
    <w:rsid w:val="006A7C95"/>
    <w:rsid w:val="006B254D"/>
    <w:rsid w:val="006B7C7E"/>
    <w:rsid w:val="006C4574"/>
    <w:rsid w:val="006C5862"/>
    <w:rsid w:val="006C64B2"/>
    <w:rsid w:val="006D1142"/>
    <w:rsid w:val="006D3CB1"/>
    <w:rsid w:val="006D5823"/>
    <w:rsid w:val="006E2D8F"/>
    <w:rsid w:val="006E50DE"/>
    <w:rsid w:val="006F2ACD"/>
    <w:rsid w:val="006F6D82"/>
    <w:rsid w:val="00701898"/>
    <w:rsid w:val="00704299"/>
    <w:rsid w:val="00704F18"/>
    <w:rsid w:val="00706ED9"/>
    <w:rsid w:val="0071050D"/>
    <w:rsid w:val="00713BB9"/>
    <w:rsid w:val="007164C4"/>
    <w:rsid w:val="00717779"/>
    <w:rsid w:val="007177F0"/>
    <w:rsid w:val="00720F0B"/>
    <w:rsid w:val="00722BB0"/>
    <w:rsid w:val="00724A64"/>
    <w:rsid w:val="00725FA0"/>
    <w:rsid w:val="007267FB"/>
    <w:rsid w:val="00730841"/>
    <w:rsid w:val="007334DD"/>
    <w:rsid w:val="00734533"/>
    <w:rsid w:val="007429AA"/>
    <w:rsid w:val="00743FC8"/>
    <w:rsid w:val="007441B1"/>
    <w:rsid w:val="0075097E"/>
    <w:rsid w:val="00752DDA"/>
    <w:rsid w:val="00755C7B"/>
    <w:rsid w:val="00762ED3"/>
    <w:rsid w:val="007746EF"/>
    <w:rsid w:val="00786469"/>
    <w:rsid w:val="00791F58"/>
    <w:rsid w:val="00792E1B"/>
    <w:rsid w:val="00793E55"/>
    <w:rsid w:val="007A3481"/>
    <w:rsid w:val="007A57FF"/>
    <w:rsid w:val="007B0077"/>
    <w:rsid w:val="007B5D99"/>
    <w:rsid w:val="007B5ECA"/>
    <w:rsid w:val="007C0C1E"/>
    <w:rsid w:val="007C3141"/>
    <w:rsid w:val="007D02CE"/>
    <w:rsid w:val="007D16AA"/>
    <w:rsid w:val="007D6572"/>
    <w:rsid w:val="007D6A9F"/>
    <w:rsid w:val="007E05C6"/>
    <w:rsid w:val="007E41A1"/>
    <w:rsid w:val="007E5157"/>
    <w:rsid w:val="007F1B29"/>
    <w:rsid w:val="008006C1"/>
    <w:rsid w:val="00801625"/>
    <w:rsid w:val="00802CA7"/>
    <w:rsid w:val="00802E2E"/>
    <w:rsid w:val="00807C7C"/>
    <w:rsid w:val="0081114C"/>
    <w:rsid w:val="008127D6"/>
    <w:rsid w:val="00817715"/>
    <w:rsid w:val="008222AE"/>
    <w:rsid w:val="008406F9"/>
    <w:rsid w:val="00855734"/>
    <w:rsid w:val="00855D6D"/>
    <w:rsid w:val="0086055E"/>
    <w:rsid w:val="008607C9"/>
    <w:rsid w:val="00867200"/>
    <w:rsid w:val="0087509C"/>
    <w:rsid w:val="00876DAE"/>
    <w:rsid w:val="00883A39"/>
    <w:rsid w:val="00887C2C"/>
    <w:rsid w:val="008959EB"/>
    <w:rsid w:val="00896641"/>
    <w:rsid w:val="008971CD"/>
    <w:rsid w:val="008A0A9E"/>
    <w:rsid w:val="008A7CCF"/>
    <w:rsid w:val="008B09B5"/>
    <w:rsid w:val="008B0EC3"/>
    <w:rsid w:val="008C161E"/>
    <w:rsid w:val="008C4D77"/>
    <w:rsid w:val="008C7857"/>
    <w:rsid w:val="008D1BF9"/>
    <w:rsid w:val="008D2ECC"/>
    <w:rsid w:val="008D397B"/>
    <w:rsid w:val="008D57B0"/>
    <w:rsid w:val="008D5E50"/>
    <w:rsid w:val="008D7B42"/>
    <w:rsid w:val="008E4D8F"/>
    <w:rsid w:val="008E7B4C"/>
    <w:rsid w:val="008F2B6E"/>
    <w:rsid w:val="008F7462"/>
    <w:rsid w:val="009009DB"/>
    <w:rsid w:val="00905B22"/>
    <w:rsid w:val="009169D1"/>
    <w:rsid w:val="00925A01"/>
    <w:rsid w:val="0092730A"/>
    <w:rsid w:val="00931815"/>
    <w:rsid w:val="00932B78"/>
    <w:rsid w:val="00944334"/>
    <w:rsid w:val="00950AB7"/>
    <w:rsid w:val="0096129B"/>
    <w:rsid w:val="009618C7"/>
    <w:rsid w:val="00965788"/>
    <w:rsid w:val="009716E5"/>
    <w:rsid w:val="00974AB5"/>
    <w:rsid w:val="00981CB7"/>
    <w:rsid w:val="00984386"/>
    <w:rsid w:val="00985C5B"/>
    <w:rsid w:val="00997BAA"/>
    <w:rsid w:val="009A3A81"/>
    <w:rsid w:val="009A6C01"/>
    <w:rsid w:val="009B22BA"/>
    <w:rsid w:val="009B6AB2"/>
    <w:rsid w:val="009C2E19"/>
    <w:rsid w:val="009C3AF7"/>
    <w:rsid w:val="009E0CF4"/>
    <w:rsid w:val="009E0D89"/>
    <w:rsid w:val="009E106A"/>
    <w:rsid w:val="009E1B22"/>
    <w:rsid w:val="009E1C79"/>
    <w:rsid w:val="009E3BC2"/>
    <w:rsid w:val="009F23D4"/>
    <w:rsid w:val="00A02842"/>
    <w:rsid w:val="00A04D93"/>
    <w:rsid w:val="00A05906"/>
    <w:rsid w:val="00A10863"/>
    <w:rsid w:val="00A15562"/>
    <w:rsid w:val="00A16CCF"/>
    <w:rsid w:val="00A26A49"/>
    <w:rsid w:val="00A32050"/>
    <w:rsid w:val="00A4289E"/>
    <w:rsid w:val="00A43327"/>
    <w:rsid w:val="00A43551"/>
    <w:rsid w:val="00A44084"/>
    <w:rsid w:val="00A4540D"/>
    <w:rsid w:val="00A45700"/>
    <w:rsid w:val="00A46307"/>
    <w:rsid w:val="00A61B36"/>
    <w:rsid w:val="00A76A58"/>
    <w:rsid w:val="00A76C0F"/>
    <w:rsid w:val="00A7771A"/>
    <w:rsid w:val="00A8114E"/>
    <w:rsid w:val="00A82E15"/>
    <w:rsid w:val="00A84B0D"/>
    <w:rsid w:val="00A86363"/>
    <w:rsid w:val="00A86820"/>
    <w:rsid w:val="00A971B7"/>
    <w:rsid w:val="00AA2B74"/>
    <w:rsid w:val="00AA5AFF"/>
    <w:rsid w:val="00AA697B"/>
    <w:rsid w:val="00AA74E1"/>
    <w:rsid w:val="00AB11C2"/>
    <w:rsid w:val="00AB39A6"/>
    <w:rsid w:val="00AC0EDF"/>
    <w:rsid w:val="00AC1321"/>
    <w:rsid w:val="00AC36E2"/>
    <w:rsid w:val="00AC39F7"/>
    <w:rsid w:val="00AC4D8D"/>
    <w:rsid w:val="00AC6034"/>
    <w:rsid w:val="00AD4F98"/>
    <w:rsid w:val="00AE027E"/>
    <w:rsid w:val="00AE2E5D"/>
    <w:rsid w:val="00AE3518"/>
    <w:rsid w:val="00AF280E"/>
    <w:rsid w:val="00B24B2F"/>
    <w:rsid w:val="00B35A76"/>
    <w:rsid w:val="00B36F5D"/>
    <w:rsid w:val="00B3732F"/>
    <w:rsid w:val="00B373B6"/>
    <w:rsid w:val="00B468E6"/>
    <w:rsid w:val="00B51588"/>
    <w:rsid w:val="00B52418"/>
    <w:rsid w:val="00B563CD"/>
    <w:rsid w:val="00B56E97"/>
    <w:rsid w:val="00B60768"/>
    <w:rsid w:val="00B64C15"/>
    <w:rsid w:val="00B6599E"/>
    <w:rsid w:val="00B679E5"/>
    <w:rsid w:val="00B72DCE"/>
    <w:rsid w:val="00B74645"/>
    <w:rsid w:val="00B74700"/>
    <w:rsid w:val="00B761EB"/>
    <w:rsid w:val="00B76E0E"/>
    <w:rsid w:val="00B8010E"/>
    <w:rsid w:val="00B81F81"/>
    <w:rsid w:val="00B84488"/>
    <w:rsid w:val="00B903A5"/>
    <w:rsid w:val="00B915CF"/>
    <w:rsid w:val="00B97D4E"/>
    <w:rsid w:val="00BB1419"/>
    <w:rsid w:val="00BB5FE4"/>
    <w:rsid w:val="00BC3599"/>
    <w:rsid w:val="00BC37C2"/>
    <w:rsid w:val="00BC57CC"/>
    <w:rsid w:val="00BD198C"/>
    <w:rsid w:val="00BD2794"/>
    <w:rsid w:val="00BD380E"/>
    <w:rsid w:val="00BD659F"/>
    <w:rsid w:val="00BD7481"/>
    <w:rsid w:val="00BD7C03"/>
    <w:rsid w:val="00BE2864"/>
    <w:rsid w:val="00BF2267"/>
    <w:rsid w:val="00BF7BE7"/>
    <w:rsid w:val="00C001D1"/>
    <w:rsid w:val="00C03C50"/>
    <w:rsid w:val="00C04E7C"/>
    <w:rsid w:val="00C102A3"/>
    <w:rsid w:val="00C14907"/>
    <w:rsid w:val="00C21ADC"/>
    <w:rsid w:val="00C21B1B"/>
    <w:rsid w:val="00C21F1B"/>
    <w:rsid w:val="00C33161"/>
    <w:rsid w:val="00C33BA3"/>
    <w:rsid w:val="00C409DE"/>
    <w:rsid w:val="00C41CF4"/>
    <w:rsid w:val="00C42EB7"/>
    <w:rsid w:val="00C454BE"/>
    <w:rsid w:val="00C47421"/>
    <w:rsid w:val="00C5665D"/>
    <w:rsid w:val="00C60C2A"/>
    <w:rsid w:val="00C6204B"/>
    <w:rsid w:val="00C712BA"/>
    <w:rsid w:val="00C80150"/>
    <w:rsid w:val="00C80188"/>
    <w:rsid w:val="00C8089F"/>
    <w:rsid w:val="00C80AF3"/>
    <w:rsid w:val="00C95A92"/>
    <w:rsid w:val="00C96272"/>
    <w:rsid w:val="00CA383C"/>
    <w:rsid w:val="00CA4680"/>
    <w:rsid w:val="00CB5AF9"/>
    <w:rsid w:val="00CC036C"/>
    <w:rsid w:val="00CD19A9"/>
    <w:rsid w:val="00CE204A"/>
    <w:rsid w:val="00CE5FC0"/>
    <w:rsid w:val="00CF0BC0"/>
    <w:rsid w:val="00CF1158"/>
    <w:rsid w:val="00CF4B3C"/>
    <w:rsid w:val="00CF4E8F"/>
    <w:rsid w:val="00CF6D85"/>
    <w:rsid w:val="00D04EBE"/>
    <w:rsid w:val="00D0784B"/>
    <w:rsid w:val="00D13BFE"/>
    <w:rsid w:val="00D13F19"/>
    <w:rsid w:val="00D15114"/>
    <w:rsid w:val="00D16251"/>
    <w:rsid w:val="00D249D5"/>
    <w:rsid w:val="00D27EAE"/>
    <w:rsid w:val="00D34CF2"/>
    <w:rsid w:val="00D357CD"/>
    <w:rsid w:val="00D35AF4"/>
    <w:rsid w:val="00D41160"/>
    <w:rsid w:val="00D466FE"/>
    <w:rsid w:val="00D607F9"/>
    <w:rsid w:val="00D647A4"/>
    <w:rsid w:val="00D712B1"/>
    <w:rsid w:val="00D7199F"/>
    <w:rsid w:val="00D73462"/>
    <w:rsid w:val="00D74619"/>
    <w:rsid w:val="00D74C8F"/>
    <w:rsid w:val="00D858ED"/>
    <w:rsid w:val="00D96A5F"/>
    <w:rsid w:val="00DA2095"/>
    <w:rsid w:val="00DB2735"/>
    <w:rsid w:val="00DB2D7B"/>
    <w:rsid w:val="00DB722A"/>
    <w:rsid w:val="00DC212F"/>
    <w:rsid w:val="00DC26FD"/>
    <w:rsid w:val="00DC3BF5"/>
    <w:rsid w:val="00DC4E45"/>
    <w:rsid w:val="00DD20E4"/>
    <w:rsid w:val="00DD4B0A"/>
    <w:rsid w:val="00DE21ED"/>
    <w:rsid w:val="00DE266E"/>
    <w:rsid w:val="00E038DD"/>
    <w:rsid w:val="00E10342"/>
    <w:rsid w:val="00E17C43"/>
    <w:rsid w:val="00E17E57"/>
    <w:rsid w:val="00E278F3"/>
    <w:rsid w:val="00E34CFF"/>
    <w:rsid w:val="00E40439"/>
    <w:rsid w:val="00E47523"/>
    <w:rsid w:val="00E53784"/>
    <w:rsid w:val="00E63ADA"/>
    <w:rsid w:val="00E63B1E"/>
    <w:rsid w:val="00E652DF"/>
    <w:rsid w:val="00E653D0"/>
    <w:rsid w:val="00E66778"/>
    <w:rsid w:val="00E813A9"/>
    <w:rsid w:val="00E84A35"/>
    <w:rsid w:val="00E86482"/>
    <w:rsid w:val="00EA1ACB"/>
    <w:rsid w:val="00EA3FEA"/>
    <w:rsid w:val="00EA4C9A"/>
    <w:rsid w:val="00EB1022"/>
    <w:rsid w:val="00EB2732"/>
    <w:rsid w:val="00EB47CB"/>
    <w:rsid w:val="00EB573C"/>
    <w:rsid w:val="00EB63A9"/>
    <w:rsid w:val="00EC14D4"/>
    <w:rsid w:val="00EC3F7F"/>
    <w:rsid w:val="00EF1313"/>
    <w:rsid w:val="00EF1E5D"/>
    <w:rsid w:val="00EF4852"/>
    <w:rsid w:val="00EF5470"/>
    <w:rsid w:val="00F0207F"/>
    <w:rsid w:val="00F1149F"/>
    <w:rsid w:val="00F136D5"/>
    <w:rsid w:val="00F1575F"/>
    <w:rsid w:val="00F168B4"/>
    <w:rsid w:val="00F27975"/>
    <w:rsid w:val="00F32C50"/>
    <w:rsid w:val="00F33F03"/>
    <w:rsid w:val="00F505C8"/>
    <w:rsid w:val="00F5632D"/>
    <w:rsid w:val="00F602EC"/>
    <w:rsid w:val="00F6188B"/>
    <w:rsid w:val="00F67AAF"/>
    <w:rsid w:val="00F7223F"/>
    <w:rsid w:val="00F80516"/>
    <w:rsid w:val="00F9757A"/>
    <w:rsid w:val="00FA06B6"/>
    <w:rsid w:val="00FA1C92"/>
    <w:rsid w:val="00FA3306"/>
    <w:rsid w:val="00FB41D2"/>
    <w:rsid w:val="00FB64E7"/>
    <w:rsid w:val="00FB758E"/>
    <w:rsid w:val="00FC1948"/>
    <w:rsid w:val="00FC383D"/>
    <w:rsid w:val="00FD48AD"/>
    <w:rsid w:val="00FE2482"/>
    <w:rsid w:val="00FE2D70"/>
    <w:rsid w:val="00FE4EB1"/>
    <w:rsid w:val="00FE79C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975B36"/>
  <w15:docId w15:val="{B6B2AA14-D623-4E53-B7E2-DBA69FEE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AA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9AA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742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9AA"/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419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Dışişleri Bakanlığı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Kozluklu</dc:creator>
  <cp:keywords/>
  <dc:description/>
  <cp:lastModifiedBy>Serdar Belentepe</cp:lastModifiedBy>
  <cp:revision>10</cp:revision>
  <cp:lastPrinted>2018-07-17T12:11:00Z</cp:lastPrinted>
  <dcterms:created xsi:type="dcterms:W3CDTF">2018-07-03T08:21:00Z</dcterms:created>
  <dcterms:modified xsi:type="dcterms:W3CDTF">2018-08-06T12:36:00Z</dcterms:modified>
</cp:coreProperties>
</file>